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CA8EA" w14:textId="566D13BC" w:rsidR="0001045F" w:rsidRPr="00D60A8B" w:rsidRDefault="004C6368" w:rsidP="0001045F">
      <w:pPr>
        <w:pStyle w:val="3GPPHeader"/>
        <w:spacing w:after="0"/>
        <w:rPr>
          <w:rFonts w:ascii="Arial" w:hAnsi="Arial" w:cs="Arial"/>
          <w:sz w:val="22"/>
          <w:lang w:val="en-US"/>
        </w:rPr>
      </w:pPr>
      <w:r>
        <w:rPr>
          <w:rFonts w:ascii="Arial" w:hAnsi="Arial" w:cs="Arial"/>
          <w:sz w:val="22"/>
          <w:lang w:val="en-US"/>
        </w:rPr>
        <w:t>3GPP TSG RAN WG2 #10</w:t>
      </w:r>
      <w:r w:rsidR="000E01C4">
        <w:rPr>
          <w:rFonts w:ascii="Arial" w:hAnsi="Arial" w:cs="Arial"/>
          <w:sz w:val="22"/>
          <w:lang w:val="en-US"/>
        </w:rPr>
        <w:t>6</w:t>
      </w:r>
      <w:r w:rsidR="0001045F">
        <w:rPr>
          <w:rFonts w:ascii="Arial" w:hAnsi="Arial" w:cs="Arial"/>
          <w:sz w:val="22"/>
          <w:lang w:val="en-US"/>
        </w:rPr>
        <w:tab/>
        <w:t xml:space="preserve"> </w:t>
      </w:r>
      <w:r w:rsidR="001D4711">
        <w:rPr>
          <w:rFonts w:ascii="Arial" w:hAnsi="Arial" w:cs="Arial"/>
          <w:sz w:val="22"/>
          <w:lang w:val="en-US"/>
        </w:rPr>
        <w:t>R2-1</w:t>
      </w:r>
      <w:r w:rsidR="00C70FC3">
        <w:rPr>
          <w:rFonts w:ascii="Arial" w:hAnsi="Arial" w:cs="Arial"/>
          <w:sz w:val="22"/>
          <w:lang w:val="en-US"/>
        </w:rPr>
        <w:t>9</w:t>
      </w:r>
      <w:r w:rsidR="00C41EA5">
        <w:rPr>
          <w:rFonts w:ascii="Arial" w:hAnsi="Arial" w:cs="Arial"/>
          <w:sz w:val="22"/>
          <w:lang w:val="en-US"/>
        </w:rPr>
        <w:t>06230</w:t>
      </w:r>
    </w:p>
    <w:p w14:paraId="0F790150" w14:textId="002F707F" w:rsidR="0001045F" w:rsidRDefault="000E01C4" w:rsidP="0001045F">
      <w:pPr>
        <w:pStyle w:val="3GPPHeader"/>
        <w:spacing w:after="0"/>
        <w:rPr>
          <w:rFonts w:ascii="Arial" w:hAnsi="Arial" w:cs="Arial"/>
          <w:sz w:val="22"/>
          <w:lang w:val="en-US"/>
        </w:rPr>
      </w:pPr>
      <w:r>
        <w:rPr>
          <w:rFonts w:ascii="Arial" w:hAnsi="Arial" w:cs="Arial"/>
          <w:sz w:val="22"/>
          <w:lang w:val="en-US"/>
        </w:rPr>
        <w:t>Reno</w:t>
      </w:r>
      <w:r w:rsidR="0001045F" w:rsidRPr="00395015">
        <w:rPr>
          <w:rFonts w:ascii="Arial" w:hAnsi="Arial" w:cs="Arial"/>
          <w:sz w:val="22"/>
          <w:lang w:val="en-US"/>
        </w:rPr>
        <w:t>,</w:t>
      </w:r>
      <w:r w:rsidR="000B00BF">
        <w:rPr>
          <w:rFonts w:ascii="Arial" w:hAnsi="Arial" w:cs="Arial"/>
          <w:sz w:val="22"/>
          <w:lang w:val="en-US"/>
        </w:rPr>
        <w:t xml:space="preserve"> </w:t>
      </w:r>
      <w:r>
        <w:rPr>
          <w:rFonts w:ascii="Arial" w:hAnsi="Arial" w:cs="Arial"/>
          <w:sz w:val="22"/>
          <w:lang w:val="en-US"/>
        </w:rPr>
        <w:t>US</w:t>
      </w:r>
      <w:r w:rsidR="0001045F" w:rsidRPr="00395015">
        <w:rPr>
          <w:rFonts w:ascii="Arial" w:hAnsi="Arial" w:cs="Arial"/>
          <w:sz w:val="22"/>
          <w:lang w:val="en-US"/>
        </w:rPr>
        <w:t xml:space="preserve">, </w:t>
      </w:r>
      <w:r>
        <w:rPr>
          <w:rFonts w:ascii="Arial" w:hAnsi="Arial" w:cs="Arial"/>
          <w:sz w:val="22"/>
          <w:lang w:val="en-US"/>
        </w:rPr>
        <w:t>13</w:t>
      </w:r>
      <w:r w:rsidR="001D4711">
        <w:rPr>
          <w:rFonts w:ascii="Arial" w:hAnsi="Arial" w:cs="Arial"/>
          <w:sz w:val="22"/>
          <w:lang w:val="en-US"/>
        </w:rPr>
        <w:t xml:space="preserve"> – </w:t>
      </w:r>
      <w:r w:rsidR="0086488F">
        <w:rPr>
          <w:rFonts w:ascii="Arial" w:hAnsi="Arial" w:cs="Arial"/>
          <w:sz w:val="22"/>
          <w:lang w:val="en-US"/>
        </w:rPr>
        <w:t>1</w:t>
      </w:r>
      <w:r>
        <w:rPr>
          <w:rFonts w:ascii="Arial" w:hAnsi="Arial" w:cs="Arial"/>
          <w:sz w:val="22"/>
          <w:lang w:val="en-US"/>
        </w:rPr>
        <w:t>7</w:t>
      </w:r>
      <w:r w:rsidR="00D407D8">
        <w:rPr>
          <w:rFonts w:ascii="Arial" w:hAnsi="Arial" w:cs="Arial"/>
          <w:sz w:val="22"/>
          <w:lang w:val="en-US"/>
        </w:rPr>
        <w:t xml:space="preserve"> </w:t>
      </w:r>
      <w:r>
        <w:rPr>
          <w:rFonts w:ascii="Arial" w:hAnsi="Arial" w:cs="Arial"/>
          <w:sz w:val="22"/>
          <w:lang w:val="en-US"/>
        </w:rPr>
        <w:t>May</w:t>
      </w:r>
      <w:r w:rsidR="0001045F" w:rsidRPr="00395015">
        <w:rPr>
          <w:rFonts w:ascii="Arial" w:hAnsi="Arial" w:cs="Arial"/>
          <w:sz w:val="22"/>
          <w:lang w:val="en-US"/>
        </w:rPr>
        <w:t>,</w:t>
      </w:r>
      <w:r w:rsidR="004B6A12">
        <w:rPr>
          <w:rFonts w:ascii="Arial" w:hAnsi="Arial" w:cs="Arial"/>
          <w:sz w:val="22"/>
          <w:lang w:val="en-US"/>
        </w:rPr>
        <w:t xml:space="preserve"> 2019</w:t>
      </w:r>
    </w:p>
    <w:p w14:paraId="3034078C"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57124326" w14:textId="2F79BBFB" w:rsidR="00120D47" w:rsidRPr="006E5655" w:rsidRDefault="00120D47" w:rsidP="00F120D3">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970B1F">
        <w:rPr>
          <w:rFonts w:ascii="Arial" w:hAnsi="Arial" w:cs="Arial"/>
          <w:b w:val="0"/>
          <w:sz w:val="22"/>
          <w:lang w:val="en-US"/>
        </w:rPr>
        <w:t>9.21</w:t>
      </w:r>
      <w:r w:rsidR="00245D9A">
        <w:rPr>
          <w:rFonts w:ascii="Arial" w:hAnsi="Arial" w:cs="Arial"/>
          <w:b w:val="0"/>
          <w:sz w:val="22"/>
          <w:lang w:val="en-US"/>
        </w:rPr>
        <w:t>.2</w:t>
      </w:r>
      <w:r w:rsidR="00C35040">
        <w:rPr>
          <w:rFonts w:ascii="Arial" w:hAnsi="Arial" w:cs="Arial"/>
          <w:b w:val="0"/>
          <w:sz w:val="22"/>
          <w:lang w:val="en-US"/>
        </w:rPr>
        <w:t xml:space="preserve"> </w:t>
      </w:r>
      <w:r w:rsidR="00970B1F">
        <w:rPr>
          <w:rFonts w:ascii="Arial" w:hAnsi="Arial" w:cs="Arial"/>
          <w:b w:val="0"/>
          <w:sz w:val="22"/>
          <w:lang w:val="en-US"/>
        </w:rPr>
        <w:t>Other LTE Rel-15 WIs</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32C34266"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970B1F">
        <w:rPr>
          <w:rFonts w:ascii="Arial" w:hAnsi="Arial" w:cs="Arial"/>
          <w:b w:val="0"/>
          <w:sz w:val="22"/>
          <w:lang w:val="en-US"/>
        </w:rPr>
        <w:t>Attributes for QoE measurement c</w:t>
      </w:r>
      <w:r w:rsidR="00BC41E6">
        <w:rPr>
          <w:rFonts w:ascii="Arial" w:hAnsi="Arial" w:cs="Arial"/>
          <w:b w:val="0"/>
          <w:sz w:val="22"/>
          <w:lang w:val="en-US"/>
        </w:rPr>
        <w:t xml:space="preserve">ollection </w:t>
      </w:r>
      <w:r w:rsidR="00160B7F">
        <w:rPr>
          <w:rFonts w:ascii="Arial" w:hAnsi="Arial" w:cs="Arial"/>
          <w:b w:val="0"/>
          <w:sz w:val="22"/>
          <w:lang w:val="en-US"/>
        </w:rPr>
        <w:t xml:space="preserve">in </w:t>
      </w:r>
      <w:r w:rsidR="00970B1F">
        <w:rPr>
          <w:rFonts w:ascii="Arial" w:hAnsi="Arial" w:cs="Arial"/>
          <w:b w:val="0"/>
          <w:sz w:val="22"/>
          <w:lang w:val="en-US"/>
        </w:rPr>
        <w:t>LTE</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Default="00D15D57" w:rsidP="00120D47">
      <w:pPr>
        <w:pStyle w:val="Heading1"/>
      </w:pPr>
      <w:r>
        <w:t>Introduction</w:t>
      </w:r>
    </w:p>
    <w:p w14:paraId="406E0515" w14:textId="567E19F7" w:rsidR="003D23B8" w:rsidRPr="00A009D5" w:rsidRDefault="00970B1F" w:rsidP="00A009D5">
      <w:bookmarkStart w:id="0" w:name="_Toc242573354"/>
      <w:r>
        <w:t xml:space="preserve">In RAN2#105 RAN2 received an </w:t>
      </w:r>
      <w:r w:rsidR="007F639C">
        <w:t xml:space="preserve">LS from SA5 regarding attributes for QoE measurement collection, see </w:t>
      </w:r>
      <w:r w:rsidR="007F639C">
        <w:fldChar w:fldCharType="begin"/>
      </w:r>
      <w:r w:rsidR="007F639C">
        <w:instrText xml:space="preserve"> REF _Ref4420849 \r \h </w:instrText>
      </w:r>
      <w:r w:rsidR="007F639C">
        <w:fldChar w:fldCharType="separate"/>
      </w:r>
      <w:r w:rsidR="007F639C">
        <w:t>[3]</w:t>
      </w:r>
      <w:r w:rsidR="007F639C">
        <w:fldChar w:fldCharType="end"/>
      </w:r>
      <w:r w:rsidR="007F639C">
        <w:t>. Here the impact on RAN2 related to the LS is discussed</w:t>
      </w:r>
      <w:r w:rsidR="00A009D5">
        <w:t xml:space="preserve">. </w:t>
      </w:r>
    </w:p>
    <w:p w14:paraId="487CD5E1" w14:textId="77777777" w:rsidR="005652F6" w:rsidRDefault="009D725A" w:rsidP="000C4E17">
      <w:pPr>
        <w:pStyle w:val="Heading1"/>
      </w:pPr>
      <w:r>
        <w:t>Discussion</w:t>
      </w:r>
      <w:bookmarkEnd w:id="0"/>
    </w:p>
    <w:p w14:paraId="7825E862" w14:textId="28822B41" w:rsidR="00426B6F" w:rsidRDefault="009B2C5C" w:rsidP="008B338C">
      <w:pPr>
        <w:pStyle w:val="Heading2"/>
      </w:pPr>
      <w:r>
        <w:t>QoE Measurement C</w:t>
      </w:r>
      <w:r w:rsidR="00A009D5">
        <w:t>ollection</w:t>
      </w:r>
    </w:p>
    <w:p w14:paraId="6CF801A2" w14:textId="44CD1AF3" w:rsidR="00AC061E" w:rsidRDefault="00A009D5" w:rsidP="00426B6F">
      <w:pPr>
        <w:rPr>
          <w:lang w:val="en-GB" w:eastAsia="zh-CN"/>
        </w:rPr>
      </w:pPr>
      <w:r>
        <w:rPr>
          <w:lang w:val="en-GB" w:eastAsia="zh-CN"/>
        </w:rPr>
        <w:t>Quality of Exp</w:t>
      </w:r>
      <w:r w:rsidR="003F6B0F">
        <w:rPr>
          <w:lang w:val="en-GB" w:eastAsia="zh-CN"/>
        </w:rPr>
        <w:t>erience Measurement C</w:t>
      </w:r>
      <w:r w:rsidR="007F639C">
        <w:rPr>
          <w:lang w:val="en-GB" w:eastAsia="zh-CN"/>
        </w:rPr>
        <w:t xml:space="preserve">ollection </w:t>
      </w:r>
      <w:r w:rsidR="007B2A3E" w:rsidRPr="007B2A3E">
        <w:rPr>
          <w:lang w:val="en-GB" w:eastAsia="zh-CN"/>
        </w:rPr>
        <w:t xml:space="preserve">enables </w:t>
      </w:r>
      <w:r w:rsidR="003F6B0F">
        <w:rPr>
          <w:lang w:val="en-GB" w:eastAsia="zh-CN"/>
        </w:rPr>
        <w:t>configuration of</w:t>
      </w:r>
      <w:r w:rsidR="007B2A3E" w:rsidRPr="007B2A3E">
        <w:rPr>
          <w:lang w:val="en-GB" w:eastAsia="zh-CN"/>
        </w:rPr>
        <w:t xml:space="preserve"> app</w:t>
      </w:r>
      <w:r w:rsidR="003F6B0F">
        <w:rPr>
          <w:lang w:val="en-GB" w:eastAsia="zh-CN"/>
        </w:rPr>
        <w:t xml:space="preserve">lication layer measurements in </w:t>
      </w:r>
      <w:r w:rsidR="007B2A3E" w:rsidRPr="007B2A3E">
        <w:rPr>
          <w:lang w:val="en-GB" w:eastAsia="zh-CN"/>
        </w:rPr>
        <w:t>the UE</w:t>
      </w:r>
      <w:r w:rsidR="003F6B0F">
        <w:rPr>
          <w:lang w:val="en-GB" w:eastAsia="zh-CN"/>
        </w:rPr>
        <w:t xml:space="preserve"> and transmission of QoE measurement result files by means of RRC signalling</w:t>
      </w:r>
      <w:r w:rsidR="007B2A3E" w:rsidRPr="007B2A3E">
        <w:rPr>
          <w:lang w:val="en-GB" w:eastAsia="zh-CN"/>
        </w:rPr>
        <w:t>.</w:t>
      </w:r>
      <w:r w:rsidR="007F639C">
        <w:rPr>
          <w:lang w:val="en-GB" w:eastAsia="zh-CN"/>
        </w:rPr>
        <w:t xml:space="preserve"> </w:t>
      </w:r>
      <w:r w:rsidR="00337BD1" w:rsidRPr="00337BD1">
        <w:rPr>
          <w:lang w:val="en-GB" w:eastAsia="zh-CN"/>
        </w:rPr>
        <w:t>Application layer measurement configuration received from OAM or CN is encapsulated in a transparent container, which is forwarded to UE in a downlink RRC message. Application layer measurements received from UE's higher layer are encapsulated in a transparent container and sent to network in an uplink RRC message</w:t>
      </w:r>
      <w:r w:rsidR="00AC061E">
        <w:rPr>
          <w:lang w:val="en-GB" w:eastAsia="zh-CN"/>
        </w:rPr>
        <w:t>. The result container at forwarded t</w:t>
      </w:r>
      <w:r w:rsidR="007F639C">
        <w:rPr>
          <w:lang w:val="en-GB" w:eastAsia="zh-CN"/>
        </w:rPr>
        <w:t>o a TCE, Trace Collector Entity.</w:t>
      </w:r>
      <w:r w:rsidR="00B94209">
        <w:rPr>
          <w:lang w:val="en-GB" w:eastAsia="zh-CN"/>
        </w:rPr>
        <w:t xml:space="preserve"> </w:t>
      </w:r>
      <w:r w:rsidR="00EF2F45">
        <w:rPr>
          <w:lang w:val="en-GB" w:eastAsia="zh-CN"/>
        </w:rPr>
        <w:t xml:space="preserve">In Figure 1, the signalling flow for QoE measurements in LTE are shown. </w:t>
      </w:r>
    </w:p>
    <w:p w14:paraId="596896A2" w14:textId="1D248391" w:rsidR="00B1308C" w:rsidRDefault="008A19E2" w:rsidP="00426B6F">
      <w:pPr>
        <w:rPr>
          <w:lang w:val="en-GB" w:eastAsia="zh-CN"/>
        </w:rPr>
      </w:pPr>
      <w:r>
        <w:object w:dxaOrig="5720" w:dyaOrig="2790" w14:anchorId="57BF49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39.5pt" o:ole="">
            <v:imagedata r:id="rId13" o:title=""/>
          </v:shape>
          <o:OLEObject Type="Embed" ProgID="Mscgen.Chart" ShapeID="_x0000_i1025" DrawAspect="Content" ObjectID="_1618322317" r:id="rId14"/>
        </w:object>
      </w:r>
    </w:p>
    <w:p w14:paraId="5C2FDEAA" w14:textId="2E486037" w:rsidR="002F5536" w:rsidRPr="007F639C" w:rsidRDefault="006D1317" w:rsidP="00165EF0">
      <w:pPr>
        <w:rPr>
          <w:lang w:val="en-GB" w:eastAsia="zh-CN"/>
        </w:rPr>
      </w:pPr>
      <w:r>
        <w:rPr>
          <w:lang w:val="en-GB" w:eastAsia="zh-CN"/>
        </w:rPr>
        <w:t xml:space="preserve"> </w:t>
      </w:r>
      <w:r w:rsidR="00EF2F45">
        <w:rPr>
          <w:lang w:val="en-GB" w:eastAsia="zh-CN"/>
        </w:rPr>
        <w:t>Figure 1: QoE measurement collection in LTE</w:t>
      </w:r>
      <w:r w:rsidR="00B206C9" w:rsidRPr="00B206C9">
        <w:rPr>
          <w:b/>
          <w:lang w:val="en-GB" w:eastAsia="zh-CN"/>
        </w:rPr>
        <w:t xml:space="preserve"> </w:t>
      </w:r>
    </w:p>
    <w:p w14:paraId="23AB23F1" w14:textId="51CD3CA8" w:rsidR="00B206C9" w:rsidRDefault="00B206C9" w:rsidP="00165EF0">
      <w:pPr>
        <w:rPr>
          <w:b/>
          <w:lang w:val="en-GB" w:eastAsia="zh-CN"/>
        </w:rPr>
      </w:pPr>
    </w:p>
    <w:p w14:paraId="2243D050" w14:textId="4DD54B84" w:rsidR="00EB0ED2" w:rsidRDefault="00EB0ED2" w:rsidP="00EB0ED2">
      <w:pPr>
        <w:pStyle w:val="Heading2"/>
      </w:pPr>
      <w:r>
        <w:t>Mobility</w:t>
      </w:r>
      <w:r w:rsidR="007F639C">
        <w:t xml:space="preserve"> for Qo</w:t>
      </w:r>
      <w:r w:rsidR="008D3BCA">
        <w:t>E measurement col</w:t>
      </w:r>
      <w:r w:rsidR="007F639C">
        <w:t>l</w:t>
      </w:r>
      <w:r w:rsidR="008D3BCA">
        <w:t>e</w:t>
      </w:r>
      <w:r w:rsidR="007F639C">
        <w:t>ction</w:t>
      </w:r>
    </w:p>
    <w:p w14:paraId="1E9B500D" w14:textId="76DEFD9C" w:rsidR="00EB0ED2" w:rsidRDefault="00EB0ED2" w:rsidP="00EB0ED2">
      <w:pPr>
        <w:rPr>
          <w:lang w:val="en-GB" w:eastAsia="zh-CN"/>
        </w:rPr>
      </w:pPr>
      <w:r>
        <w:rPr>
          <w:lang w:val="en-GB" w:eastAsia="zh-CN"/>
        </w:rPr>
        <w:t xml:space="preserve">In </w:t>
      </w:r>
      <w:r w:rsidR="007F639C">
        <w:rPr>
          <w:lang w:val="en-GB" w:eastAsia="zh-CN"/>
        </w:rPr>
        <w:t xml:space="preserve">the work item for QoE measurement collection for </w:t>
      </w:r>
      <w:r>
        <w:rPr>
          <w:lang w:val="en-GB" w:eastAsia="zh-CN"/>
        </w:rPr>
        <w:t xml:space="preserve">LTE there was not enough time </w:t>
      </w:r>
      <w:r w:rsidR="003F6B0F">
        <w:rPr>
          <w:lang w:val="en-GB" w:eastAsia="zh-CN"/>
        </w:rPr>
        <w:t xml:space="preserve">in RAN2 </w:t>
      </w:r>
      <w:r>
        <w:rPr>
          <w:lang w:val="en-GB" w:eastAsia="zh-CN"/>
        </w:rPr>
        <w:t>to discuss how mobility would work for QoE measurements. However, it was concluded that sending the area scope to the UE increases the RRC signalling load</w:t>
      </w:r>
      <w:r w:rsidR="003F6B0F">
        <w:rPr>
          <w:lang w:val="en-GB" w:eastAsia="zh-CN"/>
        </w:rPr>
        <w:t xml:space="preserve">, see </w:t>
      </w:r>
      <w:r>
        <w:rPr>
          <w:lang w:val="en-GB" w:eastAsia="zh-CN"/>
        </w:rPr>
        <w:t xml:space="preserve">reply LS </w:t>
      </w:r>
      <w:r>
        <w:rPr>
          <w:lang w:val="en-GB" w:eastAsia="zh-CN"/>
        </w:rPr>
        <w:fldChar w:fldCharType="begin"/>
      </w:r>
      <w:r>
        <w:rPr>
          <w:lang w:val="en-GB" w:eastAsia="zh-CN"/>
        </w:rPr>
        <w:instrText xml:space="preserve"> REF _Ref4404028 \r \h </w:instrText>
      </w:r>
      <w:r>
        <w:rPr>
          <w:lang w:val="en-GB" w:eastAsia="zh-CN"/>
        </w:rPr>
      </w:r>
      <w:r>
        <w:rPr>
          <w:lang w:val="en-GB" w:eastAsia="zh-CN"/>
        </w:rPr>
        <w:fldChar w:fldCharType="separate"/>
      </w:r>
      <w:r w:rsidR="00B1308C">
        <w:rPr>
          <w:lang w:val="en-GB" w:eastAsia="zh-CN"/>
        </w:rPr>
        <w:t>[2]</w:t>
      </w:r>
      <w:r>
        <w:rPr>
          <w:lang w:val="en-GB" w:eastAsia="zh-CN"/>
        </w:rPr>
        <w:fldChar w:fldCharType="end"/>
      </w:r>
      <w:r>
        <w:rPr>
          <w:lang w:val="en-GB" w:eastAsia="zh-CN"/>
        </w:rPr>
        <w:t>. The area scope is the area in which the UE should perform the QoE measurements, it could e.g. be a list of cells.</w:t>
      </w:r>
    </w:p>
    <w:p w14:paraId="5FDF4B3D" w14:textId="6D2872AC" w:rsidR="000E01C4" w:rsidRPr="000E01C4" w:rsidRDefault="00EB0ED2" w:rsidP="000E01C4">
      <w:pPr>
        <w:rPr>
          <w:lang w:val="en-GB" w:eastAsia="zh-CN"/>
        </w:rPr>
      </w:pPr>
      <w:r>
        <w:rPr>
          <w:lang w:val="en-GB" w:eastAsia="zh-CN"/>
        </w:rPr>
        <w:lastRenderedPageBreak/>
        <w:t xml:space="preserve">SA5 have later discussed mobility </w:t>
      </w:r>
      <w:r w:rsidR="000E01C4">
        <w:rPr>
          <w:lang w:val="en-GB" w:eastAsia="zh-CN"/>
        </w:rPr>
        <w:t xml:space="preserve">and also taken into account the requirement from SA4 that if measurements have been started, they should continue until the end of the session even if the UE exists the area in the middle of the session. The reason is that if measurements are stopped in the middle of the session the report cannot be used. </w:t>
      </w:r>
      <w:r w:rsidR="000E01C4" w:rsidRPr="000E01C4">
        <w:rPr>
          <w:lang w:val="en-GB" w:eastAsia="zh-CN"/>
        </w:rPr>
        <w:t>It is explicitly stated in 26.247 and 26.114 that a started measurement shall con</w:t>
      </w:r>
      <w:r w:rsidR="000E01C4">
        <w:rPr>
          <w:lang w:val="en-GB" w:eastAsia="zh-CN"/>
        </w:rPr>
        <w:t>tinue until end of the session:</w:t>
      </w:r>
    </w:p>
    <w:p w14:paraId="1656CC1D" w14:textId="77777777" w:rsidR="00894846" w:rsidRDefault="000E01C4" w:rsidP="000E01C4">
      <w:pPr>
        <w:rPr>
          <w:lang w:val="en-GB" w:eastAsia="zh-CN"/>
        </w:rPr>
      </w:pPr>
      <w:r w:rsidRPr="000E01C4">
        <w:rPr>
          <w:lang w:val="en-GB" w:eastAsia="zh-CN"/>
        </w:rPr>
        <w:t xml:space="preserve">26.247, clause 10.1: </w:t>
      </w:r>
    </w:p>
    <w:p w14:paraId="4E60A360" w14:textId="5546A874" w:rsidR="00894846" w:rsidRPr="00894846" w:rsidRDefault="00894846" w:rsidP="00894846">
      <w:pPr>
        <w:overflowPunct w:val="0"/>
        <w:autoSpaceDE w:val="0"/>
        <w:autoSpaceDN w:val="0"/>
        <w:adjustRightInd w:val="0"/>
        <w:spacing w:after="180" w:line="240" w:lineRule="auto"/>
        <w:rPr>
          <w:rFonts w:ascii="Times New Roman" w:eastAsia="Times New Roman" w:hAnsi="Times New Roman"/>
          <w:szCs w:val="20"/>
          <w:lang w:val="en-GB"/>
        </w:rPr>
      </w:pPr>
      <w:r w:rsidRPr="00894846">
        <w:rPr>
          <w:rFonts w:ascii="Times New Roman" w:eastAsia="Times New Roman" w:hAnsi="Times New Roman"/>
          <w:szCs w:val="20"/>
          <w:lang w:val="en-GB"/>
        </w:rPr>
        <w:t>The QoE configuration shall only be checked by the client when each session starts, and thus all logging and reporting criterias for an ongoing session shall be unaffected by any QoE configuration changes received during that session. This also includes evaluation of any filtering criterias, such as geographical filtering, which shall only be done when the session starts. Thus changes to the QoE configuration will only affect sessions started after these configuration changes have been received.</w:t>
      </w:r>
    </w:p>
    <w:p w14:paraId="6C209B6F" w14:textId="7AE067C3" w:rsidR="00894846" w:rsidRDefault="000E01C4" w:rsidP="000E01C4">
      <w:pPr>
        <w:rPr>
          <w:lang w:val="en-GB" w:eastAsia="zh-CN"/>
        </w:rPr>
      </w:pPr>
      <w:r w:rsidRPr="000E01C4">
        <w:rPr>
          <w:lang w:val="en-GB" w:eastAsia="zh-CN"/>
        </w:rPr>
        <w:t xml:space="preserve">26.114, clause 16.3: </w:t>
      </w:r>
    </w:p>
    <w:p w14:paraId="0DF99A9B" w14:textId="69454C7B" w:rsidR="00894846" w:rsidRPr="00894846" w:rsidRDefault="00894846" w:rsidP="00894846">
      <w:pPr>
        <w:overflowPunct w:val="0"/>
        <w:autoSpaceDE w:val="0"/>
        <w:autoSpaceDN w:val="0"/>
        <w:adjustRightInd w:val="0"/>
        <w:spacing w:after="180" w:line="240" w:lineRule="auto"/>
        <w:textAlignment w:val="baseline"/>
        <w:rPr>
          <w:rFonts w:ascii="Times New Roman" w:eastAsia="Times New Roman" w:hAnsi="Times New Roman"/>
          <w:szCs w:val="20"/>
          <w:lang w:val="en-GB"/>
        </w:rPr>
      </w:pPr>
      <w:r w:rsidRPr="00894846">
        <w:rPr>
          <w:rFonts w:ascii="Times New Roman" w:eastAsia="Times New Roman" w:hAnsi="Times New Roman"/>
          <w:szCs w:val="20"/>
          <w:lang w:val="en-GB"/>
        </w:rPr>
        <w:t>The QoE configuration shall only be checked by the client when each session starts, and thus all logging and reporting criterias for an ongoing session shall be unaffected by any QoE configuration changes received during that session. This also includes evaluation of any filtering criterias, such as geographical filtering, which shall only be done when the session starts. Thus changes to the QoE configuration will only affect sessions started after these configuration changes have been received.</w:t>
      </w:r>
    </w:p>
    <w:p w14:paraId="475AC509" w14:textId="4D784BBD" w:rsidR="00EB0ED2" w:rsidRDefault="00894846" w:rsidP="00EB0ED2">
      <w:pPr>
        <w:rPr>
          <w:lang w:val="en-GB" w:eastAsia="zh-CN"/>
        </w:rPr>
      </w:pPr>
      <w:r>
        <w:rPr>
          <w:lang w:val="en-GB" w:eastAsia="zh-CN"/>
        </w:rPr>
        <w:t>Based on this requirement SA5</w:t>
      </w:r>
      <w:r w:rsidR="00EB0ED2">
        <w:rPr>
          <w:lang w:val="en-GB" w:eastAsia="zh-CN"/>
        </w:rPr>
        <w:t xml:space="preserve"> concluded that if the area scope is not sent to the UE, the UE needs to get information when it enters a new cell whether the new cell is inside the area or not</w:t>
      </w:r>
      <w:r w:rsidR="001F430D">
        <w:rPr>
          <w:lang w:val="en-GB" w:eastAsia="zh-CN"/>
        </w:rPr>
        <w:t xml:space="preserve">, see </w:t>
      </w:r>
      <w:r w:rsidR="001F430D">
        <w:rPr>
          <w:lang w:val="en-GB" w:eastAsia="zh-CN"/>
        </w:rPr>
        <w:fldChar w:fldCharType="begin"/>
      </w:r>
      <w:r w:rsidR="001F430D">
        <w:rPr>
          <w:lang w:val="en-GB" w:eastAsia="zh-CN"/>
        </w:rPr>
        <w:instrText xml:space="preserve"> REF _Ref4420849 \r \h </w:instrText>
      </w:r>
      <w:r w:rsidR="001F430D">
        <w:rPr>
          <w:lang w:val="en-GB" w:eastAsia="zh-CN"/>
        </w:rPr>
      </w:r>
      <w:r w:rsidR="001F430D">
        <w:rPr>
          <w:lang w:val="en-GB" w:eastAsia="zh-CN"/>
        </w:rPr>
        <w:fldChar w:fldCharType="separate"/>
      </w:r>
      <w:r w:rsidR="001F430D">
        <w:rPr>
          <w:lang w:val="en-GB" w:eastAsia="zh-CN"/>
        </w:rPr>
        <w:t>[3]</w:t>
      </w:r>
      <w:r w:rsidR="001F430D">
        <w:rPr>
          <w:lang w:val="en-GB" w:eastAsia="zh-CN"/>
        </w:rPr>
        <w:fldChar w:fldCharType="end"/>
      </w:r>
      <w:r w:rsidR="00EB0ED2">
        <w:rPr>
          <w:lang w:val="en-GB" w:eastAsia="zh-CN"/>
        </w:rPr>
        <w:t xml:space="preserve">. If the new cell is inside the area, the UE will continue the measurements in the new cell. If the new cell is not inside the area, the UE will finalize the measurements for the ongoing session, but not start any new measurements. SA5 therefore asks RAN2 to add an inside_area indication at each handover to inform the UE whether the new cell is in the area or not. </w:t>
      </w:r>
    </w:p>
    <w:p w14:paraId="5F11BC38" w14:textId="77777777" w:rsidR="00E63CFE" w:rsidRDefault="00894846" w:rsidP="00EB0ED2">
      <w:pPr>
        <w:rPr>
          <w:lang w:val="en-GB" w:eastAsia="zh-CN"/>
        </w:rPr>
      </w:pPr>
      <w:r>
        <w:rPr>
          <w:lang w:val="en-GB" w:eastAsia="zh-CN"/>
        </w:rPr>
        <w:t xml:space="preserve">In RAN2#105bis it was proposed that measurements can be started and stopped based on eNB implementation. The eNB would in such case start measurements when the UE enters the area and stop the measurements when the UE exists the area. This approach would lead to that the measurements are interrupted in the middle of the session if the UE reaches the area border and eNB stops the measurements at the handover. </w:t>
      </w:r>
    </w:p>
    <w:p w14:paraId="1AFE75EB" w14:textId="38A238A0" w:rsidR="00894846" w:rsidRDefault="00894846" w:rsidP="00EB0ED2">
      <w:pPr>
        <w:rPr>
          <w:lang w:val="en-GB" w:eastAsia="zh-CN"/>
        </w:rPr>
      </w:pPr>
      <w:r>
        <w:rPr>
          <w:lang w:val="en-GB" w:eastAsia="zh-CN"/>
        </w:rPr>
        <w:t>If the eNB doesn’t stop the measurements at the handover and instead waits until the UE enters I</w:t>
      </w:r>
      <w:r w:rsidR="00E63CFE">
        <w:rPr>
          <w:lang w:val="en-GB" w:eastAsia="zh-CN"/>
        </w:rPr>
        <w:t>dle, it may</w:t>
      </w:r>
      <w:r w:rsidR="00D35E43">
        <w:rPr>
          <w:lang w:val="en-GB" w:eastAsia="zh-CN"/>
        </w:rPr>
        <w:t xml:space="preserve"> happen that the UE starts new measurements in the new cell which is outside the area and that is </w:t>
      </w:r>
      <w:r w:rsidR="00E63CFE">
        <w:rPr>
          <w:lang w:val="en-GB" w:eastAsia="zh-CN"/>
        </w:rPr>
        <w:t>not the intended behaviour. eNB doesn’t know when the application layer session starts and stops and therefore cannot tell when the session has ended. The UE may still be in connected mode after the session has ended and a new session may start before it enters idle mode.</w:t>
      </w:r>
    </w:p>
    <w:p w14:paraId="38B04C00" w14:textId="77777777" w:rsidR="0006578D" w:rsidRDefault="00E63CFE" w:rsidP="00EB0ED2">
      <w:pPr>
        <w:rPr>
          <w:lang w:val="en-GB" w:eastAsia="zh-CN"/>
        </w:rPr>
      </w:pPr>
      <w:r>
        <w:rPr>
          <w:lang w:val="en-GB" w:eastAsia="zh-CN"/>
        </w:rPr>
        <w:t>Starting and stopping measurements at the area borders also cause a lot of signalling overhead.</w:t>
      </w:r>
      <w:r w:rsidR="00AF34F8">
        <w:rPr>
          <w:lang w:val="en-GB" w:eastAsia="zh-CN"/>
        </w:rPr>
        <w:t xml:space="preserve"> If the measurements are stopped when the UE exists the area, they have to be restarted again when the UE re-enters the area. </w:t>
      </w:r>
      <w:r w:rsidR="00BA6F2E">
        <w:rPr>
          <w:lang w:val="en-GB" w:eastAsia="zh-CN"/>
        </w:rPr>
        <w:t xml:space="preserve">The configuration file sent when the measurements are started can be up to 1000 bytes (there is actually no guarantee that it is not even larger) and sending of such a large file should be avoided. If the UE moves along an area border </w:t>
      </w:r>
      <w:r w:rsidR="0006578D">
        <w:rPr>
          <w:lang w:val="en-GB" w:eastAsia="zh-CN"/>
        </w:rPr>
        <w:t xml:space="preserve">the file would be sent multiple times causing unnecessary signalling. </w:t>
      </w:r>
    </w:p>
    <w:p w14:paraId="42632718" w14:textId="7AFC640C" w:rsidR="00E63CFE" w:rsidRDefault="0006578D" w:rsidP="00EB0ED2">
      <w:pPr>
        <w:rPr>
          <w:lang w:val="en-GB" w:eastAsia="zh-CN"/>
        </w:rPr>
      </w:pPr>
      <w:r>
        <w:rPr>
          <w:lang w:val="en-GB" w:eastAsia="zh-CN"/>
        </w:rPr>
        <w:t>If the UE is instead informed about if the new cell is in the area or not, it can keep the configuration file the whole time, start new measurements when it is in the area and not start new measurements when it is outside the area. This fulfils the requirement from SA4 and also minimizes the signalling, so th</w:t>
      </w:r>
      <w:r w:rsidR="007253C7">
        <w:rPr>
          <w:lang w:val="en-GB" w:eastAsia="zh-CN"/>
        </w:rPr>
        <w:t>e conclusion in SA5 seems sensible. Therefore, it is proposed to follow the rec</w:t>
      </w:r>
      <w:r w:rsidR="00A04858">
        <w:rPr>
          <w:lang w:val="en-GB" w:eastAsia="zh-CN"/>
        </w:rPr>
        <w:t xml:space="preserve">ommendation from SA5 and </w:t>
      </w:r>
      <w:r w:rsidR="00A04858">
        <w:rPr>
          <w:lang w:val="en-GB" w:eastAsia="zh-CN"/>
        </w:rPr>
        <w:lastRenderedPageBreak/>
        <w:t>add an</w:t>
      </w:r>
      <w:r w:rsidR="007253C7">
        <w:rPr>
          <w:lang w:val="en-GB" w:eastAsia="zh-CN"/>
        </w:rPr>
        <w:t xml:space="preserve"> inside area indication.</w:t>
      </w:r>
      <w:r w:rsidR="00A04858">
        <w:rPr>
          <w:lang w:val="en-GB" w:eastAsia="zh-CN"/>
        </w:rPr>
        <w:t xml:space="preserve"> In case some other RAN evaluated criteria is added in the future, the name could be considered to be a bit more general and refer to whether new measurements are allowed to be started instead.</w:t>
      </w:r>
    </w:p>
    <w:p w14:paraId="0045BA99" w14:textId="6A42C43C" w:rsidR="00EB0ED2" w:rsidRDefault="00EB0ED2" w:rsidP="00EB0ED2">
      <w:pPr>
        <w:rPr>
          <w:b/>
          <w:lang w:val="en-GB" w:eastAsia="zh-CN"/>
        </w:rPr>
      </w:pPr>
      <w:r w:rsidRPr="00EB0ED2">
        <w:rPr>
          <w:b/>
          <w:lang w:val="en-GB" w:eastAsia="zh-CN"/>
        </w:rPr>
        <w:t xml:space="preserve">Proposal </w:t>
      </w:r>
      <w:r w:rsidR="007F639C">
        <w:rPr>
          <w:b/>
          <w:lang w:val="en-GB" w:eastAsia="zh-CN"/>
        </w:rPr>
        <w:t>1</w:t>
      </w:r>
      <w:r w:rsidRPr="00EB0ED2">
        <w:rPr>
          <w:b/>
          <w:lang w:val="en-GB" w:eastAsia="zh-CN"/>
        </w:rPr>
        <w:t xml:space="preserve">: At handover, inform the UE whether the new cell is inside the QoE measurement area or not. </w:t>
      </w:r>
    </w:p>
    <w:p w14:paraId="1E6F2A6F" w14:textId="504E6EA7" w:rsidR="009308E8" w:rsidRDefault="009308E8" w:rsidP="00EB0ED2">
      <w:pPr>
        <w:rPr>
          <w:lang w:val="en-GB" w:eastAsia="zh-CN"/>
        </w:rPr>
      </w:pPr>
      <w:r>
        <w:rPr>
          <w:lang w:val="en-GB" w:eastAsia="zh-CN"/>
        </w:rPr>
        <w:t xml:space="preserve">As the QoE feature </w:t>
      </w:r>
      <w:r w:rsidRPr="009308E8">
        <w:rPr>
          <w:lang w:val="en-GB" w:eastAsia="zh-CN"/>
        </w:rPr>
        <w:t xml:space="preserve">is already completed in RAN2 </w:t>
      </w:r>
      <w:r>
        <w:rPr>
          <w:lang w:val="en-GB" w:eastAsia="zh-CN"/>
        </w:rPr>
        <w:t>and release 15 is frozen it seems necessary to add a special UE capability for this addition.</w:t>
      </w:r>
    </w:p>
    <w:p w14:paraId="77AB0B97" w14:textId="7A38D0AF" w:rsidR="009308E8" w:rsidRPr="009308E8" w:rsidRDefault="009308E8" w:rsidP="00EB0ED2">
      <w:pPr>
        <w:rPr>
          <w:b/>
          <w:lang w:val="en-GB" w:eastAsia="zh-CN"/>
        </w:rPr>
      </w:pPr>
      <w:r w:rsidRPr="009308E8">
        <w:rPr>
          <w:b/>
          <w:lang w:val="en-GB" w:eastAsia="zh-CN"/>
        </w:rPr>
        <w:t xml:space="preserve">Proposal 2: Add a UE capability for the support of </w:t>
      </w:r>
      <w:r w:rsidR="00A04858">
        <w:rPr>
          <w:b/>
          <w:lang w:val="en-GB" w:eastAsia="zh-CN"/>
        </w:rPr>
        <w:t>the handover indication.</w:t>
      </w:r>
    </w:p>
    <w:p w14:paraId="372318D3" w14:textId="77777777" w:rsidR="009D725A" w:rsidRDefault="009D725A" w:rsidP="00C30004">
      <w:pPr>
        <w:pStyle w:val="Heading1"/>
      </w:pPr>
      <w:bookmarkStart w:id="1" w:name="_Toc242573360"/>
      <w:r w:rsidRPr="00C30004">
        <w:t>Summary</w:t>
      </w:r>
      <w:bookmarkEnd w:id="1"/>
    </w:p>
    <w:p w14:paraId="587C178A" w14:textId="44CA284E" w:rsidR="00EA3C8E" w:rsidRPr="00EA3C8E" w:rsidRDefault="005552F0" w:rsidP="001E79FB">
      <w:bookmarkStart w:id="2" w:name="_Toc242573361"/>
      <w:r>
        <w:t>RAN2 is kindly asked to</w:t>
      </w:r>
      <w:r w:rsidR="00063686">
        <w:t xml:space="preserve"> discuss the following</w:t>
      </w:r>
      <w:r w:rsidR="009F765E">
        <w:t xml:space="preserve"> proposal</w:t>
      </w:r>
      <w:r w:rsidR="00063686">
        <w:t>:</w:t>
      </w:r>
    </w:p>
    <w:p w14:paraId="68F58A14" w14:textId="54CF99B2" w:rsidR="00D66A20" w:rsidRDefault="00983561" w:rsidP="00D66A20">
      <w:pPr>
        <w:rPr>
          <w:b/>
          <w:lang w:val="en-GB" w:eastAsia="zh-CN"/>
        </w:rPr>
      </w:pPr>
      <w:r w:rsidRPr="00EB0ED2">
        <w:rPr>
          <w:b/>
          <w:lang w:val="en-GB" w:eastAsia="zh-CN"/>
        </w:rPr>
        <w:t xml:space="preserve">Proposal </w:t>
      </w:r>
      <w:r w:rsidR="00881261">
        <w:rPr>
          <w:b/>
          <w:lang w:val="en-GB" w:eastAsia="zh-CN"/>
        </w:rPr>
        <w:t>1</w:t>
      </w:r>
      <w:r w:rsidRPr="00EB0ED2">
        <w:rPr>
          <w:b/>
          <w:lang w:val="en-GB" w:eastAsia="zh-CN"/>
        </w:rPr>
        <w:t>: At handover, inform the UE whether the new cell is inside the QoE measurement area or not</w:t>
      </w:r>
      <w:r w:rsidR="00EB0ED2" w:rsidRPr="00EB0ED2">
        <w:rPr>
          <w:b/>
          <w:lang w:val="en-GB" w:eastAsia="zh-CN"/>
        </w:rPr>
        <w:t xml:space="preserve">. </w:t>
      </w:r>
    </w:p>
    <w:p w14:paraId="3B481A01" w14:textId="17B30B4C" w:rsidR="009308E8" w:rsidRDefault="009308E8" w:rsidP="00D66A20">
      <w:pPr>
        <w:rPr>
          <w:b/>
          <w:lang w:val="en-GB" w:eastAsia="zh-CN"/>
        </w:rPr>
      </w:pPr>
      <w:r w:rsidRPr="009308E8">
        <w:rPr>
          <w:b/>
          <w:lang w:val="en-GB" w:eastAsia="zh-CN"/>
        </w:rPr>
        <w:t xml:space="preserve">Proposal 2: Add a UE capability for the support of </w:t>
      </w:r>
      <w:r w:rsidR="002D1DE8">
        <w:rPr>
          <w:b/>
          <w:lang w:val="en-GB" w:eastAsia="zh-CN"/>
        </w:rPr>
        <w:t xml:space="preserve">the </w:t>
      </w:r>
      <w:r w:rsidR="00A04858">
        <w:rPr>
          <w:b/>
          <w:lang w:val="en-GB" w:eastAsia="zh-CN"/>
        </w:rPr>
        <w:t>handover</w:t>
      </w:r>
      <w:r w:rsidRPr="009308E8">
        <w:rPr>
          <w:b/>
          <w:lang w:val="en-GB" w:eastAsia="zh-CN"/>
        </w:rPr>
        <w:t xml:space="preserve"> indication.</w:t>
      </w:r>
    </w:p>
    <w:p w14:paraId="36D2311E" w14:textId="77777777" w:rsidR="009D725A" w:rsidRDefault="009D725A" w:rsidP="009D725A">
      <w:pPr>
        <w:pStyle w:val="Heading1"/>
        <w:rPr>
          <w:noProof/>
        </w:rPr>
      </w:pPr>
      <w:r>
        <w:rPr>
          <w:noProof/>
        </w:rPr>
        <w:t>References</w:t>
      </w:r>
      <w:bookmarkEnd w:id="2"/>
    </w:p>
    <w:p w14:paraId="38B31A59" w14:textId="316BBD8E" w:rsidR="00130C1D" w:rsidRDefault="00BC41E6" w:rsidP="00BC41E6">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3" w:name="_Ref476654561"/>
      <w:bookmarkStart w:id="4" w:name="_Ref524694582"/>
      <w:r>
        <w:rPr>
          <w:rFonts w:cs="Arial"/>
          <w:lang w:val="de-DE"/>
        </w:rPr>
        <w:t>RP-181752,</w:t>
      </w:r>
      <w:r w:rsidRPr="00BC41E6">
        <w:rPr>
          <w:rFonts w:cs="Arial"/>
          <w:lang w:val="de-DE"/>
        </w:rPr>
        <w:t xml:space="preserve"> Revised SID:Study on RAN-centric data collection and utilization for LTE and NR</w:t>
      </w:r>
      <w:r w:rsidR="005044CC">
        <w:rPr>
          <w:rFonts w:cs="Arial"/>
          <w:lang w:val="de-DE"/>
        </w:rPr>
        <w:t xml:space="preserve">, </w:t>
      </w:r>
      <w:r w:rsidR="0086488F">
        <w:rPr>
          <w:rFonts w:cs="Arial"/>
          <w:lang w:val="de-DE"/>
        </w:rPr>
        <w:t>September</w:t>
      </w:r>
      <w:r w:rsidR="005044CC">
        <w:rPr>
          <w:rFonts w:cs="Arial"/>
          <w:lang w:val="de-DE"/>
        </w:rPr>
        <w:t xml:space="preserve"> 201</w:t>
      </w:r>
      <w:bookmarkEnd w:id="3"/>
      <w:r w:rsidR="0086488F">
        <w:rPr>
          <w:rFonts w:cs="Arial"/>
          <w:lang w:val="de-DE"/>
        </w:rPr>
        <w:t>8</w:t>
      </w:r>
      <w:bookmarkEnd w:id="4"/>
    </w:p>
    <w:p w14:paraId="0D53C5A2" w14:textId="70A929D4" w:rsidR="00D66A20" w:rsidRDefault="00DB2409" w:rsidP="003032AC">
      <w:pPr>
        <w:numPr>
          <w:ilvl w:val="0"/>
          <w:numId w:val="1"/>
        </w:numPr>
        <w:tabs>
          <w:tab w:val="num" w:pos="993"/>
        </w:tabs>
        <w:overflowPunct w:val="0"/>
        <w:autoSpaceDE w:val="0"/>
        <w:autoSpaceDN w:val="0"/>
        <w:adjustRightInd w:val="0"/>
        <w:spacing w:after="180" w:line="240" w:lineRule="auto"/>
        <w:textAlignment w:val="baseline"/>
        <w:rPr>
          <w:rFonts w:cs="Arial"/>
          <w:lang w:val="de-DE"/>
        </w:rPr>
      </w:pPr>
      <w:r>
        <w:rPr>
          <w:rFonts w:cs="Arial"/>
          <w:lang w:val="de-DE"/>
        </w:rPr>
        <w:t>R2-1804086</w:t>
      </w:r>
      <w:r w:rsidR="003032AC">
        <w:rPr>
          <w:rFonts w:cs="Arial"/>
          <w:lang w:val="de-DE"/>
        </w:rPr>
        <w:t xml:space="preserve">, </w:t>
      </w:r>
      <w:r w:rsidR="003032AC" w:rsidRPr="003032AC">
        <w:rPr>
          <w:rFonts w:cs="Arial"/>
          <w:lang w:val="de-DE"/>
        </w:rPr>
        <w:t>Reply LS on Attributes for QoE measurement collection</w:t>
      </w:r>
    </w:p>
    <w:p w14:paraId="6830E39B" w14:textId="2BCF5123" w:rsidR="00D66A20" w:rsidRPr="001F430D" w:rsidRDefault="009B2C5C" w:rsidP="00BC41E6">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5" w:name="_Ref4420849"/>
      <w:r>
        <w:rPr>
          <w:rFonts w:cs="Arial"/>
          <w:lang w:val="de-DE"/>
        </w:rPr>
        <w:t>R2-1900096</w:t>
      </w:r>
      <w:r w:rsidR="003032AC">
        <w:rPr>
          <w:rFonts w:cs="Arial"/>
          <w:lang w:val="de-DE"/>
        </w:rPr>
        <w:t>,</w:t>
      </w:r>
      <w:r>
        <w:rPr>
          <w:rFonts w:cs="Arial"/>
          <w:lang w:val="de-DE"/>
        </w:rPr>
        <w:t xml:space="preserve"> </w:t>
      </w:r>
      <w:r>
        <w:t>Reply LS on Attributes for QoE measurement collection (S5-187524; contact: Ericsson)</w:t>
      </w:r>
      <w:bookmarkEnd w:id="5"/>
    </w:p>
    <w:p w14:paraId="4B6879DD" w14:textId="60C398FE" w:rsidR="001F430D" w:rsidRDefault="00CD31A8" w:rsidP="00BC41E6">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6" w:name="_Ref4421453"/>
      <w:r>
        <w:rPr>
          <w:rFonts w:cs="Arial"/>
          <w:lang w:val="de-DE"/>
        </w:rPr>
        <w:t>R2-1906231</w:t>
      </w:r>
      <w:r w:rsidR="001F430D">
        <w:rPr>
          <w:rFonts w:cs="Arial"/>
          <w:lang w:val="de-DE"/>
        </w:rPr>
        <w:t xml:space="preserve">, Addition of </w:t>
      </w:r>
      <w:r w:rsidR="002D1DE8">
        <w:rPr>
          <w:rFonts w:cs="Arial"/>
          <w:lang w:val="de-DE"/>
        </w:rPr>
        <w:t>handover</w:t>
      </w:r>
      <w:r w:rsidR="001F430D">
        <w:rPr>
          <w:rFonts w:cs="Arial"/>
          <w:lang w:val="de-DE"/>
        </w:rPr>
        <w:t xml:space="preserve"> indication</w:t>
      </w:r>
      <w:bookmarkEnd w:id="6"/>
      <w:r>
        <w:rPr>
          <w:rFonts w:cs="Arial"/>
          <w:lang w:val="de-DE"/>
        </w:rPr>
        <w:t xml:space="preserve"> for QoE measurements</w:t>
      </w:r>
      <w:bookmarkStart w:id="7" w:name="_GoBack"/>
      <w:bookmarkEnd w:id="7"/>
    </w:p>
    <w:sectPr w:rsidR="001F430D" w:rsidSect="001069AD">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7FE3D" w14:textId="77777777" w:rsidR="00D80C99" w:rsidRDefault="00D80C99">
      <w:r>
        <w:separator/>
      </w:r>
    </w:p>
  </w:endnote>
  <w:endnote w:type="continuationSeparator" w:id="0">
    <w:p w14:paraId="69F5F059" w14:textId="77777777" w:rsidR="00D80C99" w:rsidRDefault="00D80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3D2EC" w14:textId="77777777" w:rsidR="00D80C99" w:rsidRDefault="00D80C99">
      <w:r>
        <w:separator/>
      </w:r>
    </w:p>
  </w:footnote>
  <w:footnote w:type="continuationSeparator" w:id="0">
    <w:p w14:paraId="20569D22" w14:textId="77777777" w:rsidR="00D80C99" w:rsidRDefault="00D80C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CE2655"/>
    <w:multiLevelType w:val="hybridMultilevel"/>
    <w:tmpl w:val="A7363DDA"/>
    <w:lvl w:ilvl="0" w:tplc="772A23D2">
      <w:start w:val="2"/>
      <w:numFmt w:val="bullet"/>
      <w:lvlText w:val="-"/>
      <w:lvlJc w:val="left"/>
      <w:pPr>
        <w:ind w:left="1800" w:hanging="360"/>
      </w:pPr>
      <w:rPr>
        <w:rFonts w:ascii="Times New Roman" w:eastAsia="Times New Roman"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0656C0"/>
    <w:multiLevelType w:val="hybridMultilevel"/>
    <w:tmpl w:val="C65AEE3E"/>
    <w:lvl w:ilvl="0" w:tplc="C23AA704">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C6653E"/>
    <w:multiLevelType w:val="hybridMultilevel"/>
    <w:tmpl w:val="79649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1E00EA"/>
    <w:multiLevelType w:val="hybridMultilevel"/>
    <w:tmpl w:val="FF0CFFA2"/>
    <w:lvl w:ilvl="0" w:tplc="3AF641DC">
      <w:start w:val="2017"/>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4076E"/>
    <w:multiLevelType w:val="hybridMultilevel"/>
    <w:tmpl w:val="85E65ADE"/>
    <w:lvl w:ilvl="0" w:tplc="0D44573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01DB5"/>
    <w:multiLevelType w:val="hybridMultilevel"/>
    <w:tmpl w:val="C80E3834"/>
    <w:lvl w:ilvl="0" w:tplc="39BC465C">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6250BC"/>
    <w:multiLevelType w:val="hybridMultilevel"/>
    <w:tmpl w:val="2CBA5084"/>
    <w:lvl w:ilvl="0" w:tplc="4162B61E">
      <w:start w:val="1"/>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0986C1F"/>
    <w:multiLevelType w:val="hybridMultilevel"/>
    <w:tmpl w:val="55309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70569B6"/>
    <w:multiLevelType w:val="hybridMultilevel"/>
    <w:tmpl w:val="D62AA5CA"/>
    <w:lvl w:ilvl="0" w:tplc="81B46DC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AA46647"/>
    <w:multiLevelType w:val="hybridMultilevel"/>
    <w:tmpl w:val="EBF8264C"/>
    <w:lvl w:ilvl="0" w:tplc="97C290E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7A3013E"/>
    <w:multiLevelType w:val="hybridMultilevel"/>
    <w:tmpl w:val="91226688"/>
    <w:lvl w:ilvl="0" w:tplc="8834D016">
      <w:start w:val="201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2333F9"/>
    <w:multiLevelType w:val="hybridMultilevel"/>
    <w:tmpl w:val="4BF08898"/>
    <w:lvl w:ilvl="0" w:tplc="E678270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8724D1"/>
    <w:multiLevelType w:val="hybridMultilevel"/>
    <w:tmpl w:val="1D10578E"/>
    <w:lvl w:ilvl="0" w:tplc="7A1AC55E">
      <w:start w:val="1"/>
      <w:numFmt w:val="bullet"/>
      <w:lvlText w:val="•"/>
      <w:lvlJc w:val="left"/>
      <w:pPr>
        <w:tabs>
          <w:tab w:val="num" w:pos="720"/>
        </w:tabs>
        <w:ind w:left="720" w:hanging="360"/>
      </w:pPr>
      <w:rPr>
        <w:rFonts w:ascii="Arial" w:hAnsi="Arial" w:hint="default"/>
      </w:rPr>
    </w:lvl>
    <w:lvl w:ilvl="1" w:tplc="2642093A">
      <w:numFmt w:val="bullet"/>
      <w:lvlText w:val="–"/>
      <w:lvlJc w:val="left"/>
      <w:pPr>
        <w:tabs>
          <w:tab w:val="num" w:pos="1440"/>
        </w:tabs>
        <w:ind w:left="1440" w:hanging="360"/>
      </w:pPr>
      <w:rPr>
        <w:rFonts w:ascii="Arial" w:hAnsi="Arial" w:hint="default"/>
      </w:rPr>
    </w:lvl>
    <w:lvl w:ilvl="2" w:tplc="745A0DBA" w:tentative="1">
      <w:start w:val="1"/>
      <w:numFmt w:val="bullet"/>
      <w:lvlText w:val="•"/>
      <w:lvlJc w:val="left"/>
      <w:pPr>
        <w:tabs>
          <w:tab w:val="num" w:pos="2160"/>
        </w:tabs>
        <w:ind w:left="2160" w:hanging="360"/>
      </w:pPr>
      <w:rPr>
        <w:rFonts w:ascii="Arial" w:hAnsi="Arial" w:hint="default"/>
      </w:rPr>
    </w:lvl>
    <w:lvl w:ilvl="3" w:tplc="DAAA67B8" w:tentative="1">
      <w:start w:val="1"/>
      <w:numFmt w:val="bullet"/>
      <w:lvlText w:val="•"/>
      <w:lvlJc w:val="left"/>
      <w:pPr>
        <w:tabs>
          <w:tab w:val="num" w:pos="2880"/>
        </w:tabs>
        <w:ind w:left="2880" w:hanging="360"/>
      </w:pPr>
      <w:rPr>
        <w:rFonts w:ascii="Arial" w:hAnsi="Arial" w:hint="default"/>
      </w:rPr>
    </w:lvl>
    <w:lvl w:ilvl="4" w:tplc="8FE8377C" w:tentative="1">
      <w:start w:val="1"/>
      <w:numFmt w:val="bullet"/>
      <w:lvlText w:val="•"/>
      <w:lvlJc w:val="left"/>
      <w:pPr>
        <w:tabs>
          <w:tab w:val="num" w:pos="3600"/>
        </w:tabs>
        <w:ind w:left="3600" w:hanging="360"/>
      </w:pPr>
      <w:rPr>
        <w:rFonts w:ascii="Arial" w:hAnsi="Arial" w:hint="default"/>
      </w:rPr>
    </w:lvl>
    <w:lvl w:ilvl="5" w:tplc="001204F8" w:tentative="1">
      <w:start w:val="1"/>
      <w:numFmt w:val="bullet"/>
      <w:lvlText w:val="•"/>
      <w:lvlJc w:val="left"/>
      <w:pPr>
        <w:tabs>
          <w:tab w:val="num" w:pos="4320"/>
        </w:tabs>
        <w:ind w:left="4320" w:hanging="360"/>
      </w:pPr>
      <w:rPr>
        <w:rFonts w:ascii="Arial" w:hAnsi="Arial" w:hint="default"/>
      </w:rPr>
    </w:lvl>
    <w:lvl w:ilvl="6" w:tplc="099C1B3C" w:tentative="1">
      <w:start w:val="1"/>
      <w:numFmt w:val="bullet"/>
      <w:lvlText w:val="•"/>
      <w:lvlJc w:val="left"/>
      <w:pPr>
        <w:tabs>
          <w:tab w:val="num" w:pos="5040"/>
        </w:tabs>
        <w:ind w:left="5040" w:hanging="360"/>
      </w:pPr>
      <w:rPr>
        <w:rFonts w:ascii="Arial" w:hAnsi="Arial" w:hint="default"/>
      </w:rPr>
    </w:lvl>
    <w:lvl w:ilvl="7" w:tplc="3196C25A" w:tentative="1">
      <w:start w:val="1"/>
      <w:numFmt w:val="bullet"/>
      <w:lvlText w:val="•"/>
      <w:lvlJc w:val="left"/>
      <w:pPr>
        <w:tabs>
          <w:tab w:val="num" w:pos="5760"/>
        </w:tabs>
        <w:ind w:left="5760" w:hanging="360"/>
      </w:pPr>
      <w:rPr>
        <w:rFonts w:ascii="Arial" w:hAnsi="Arial" w:hint="default"/>
      </w:rPr>
    </w:lvl>
    <w:lvl w:ilvl="8" w:tplc="9544CAA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9F87537"/>
    <w:multiLevelType w:val="hybridMultilevel"/>
    <w:tmpl w:val="2CCA91F6"/>
    <w:lvl w:ilvl="0" w:tplc="1CD8109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3"/>
  </w:num>
  <w:num w:numId="2">
    <w:abstractNumId w:val="34"/>
  </w:num>
  <w:num w:numId="3">
    <w:abstractNumId w:val="18"/>
  </w:num>
  <w:num w:numId="4">
    <w:abstractNumId w:val="22"/>
  </w:num>
  <w:num w:numId="5">
    <w:abstractNumId w:val="7"/>
  </w:num>
  <w:num w:numId="6">
    <w:abstractNumId w:val="41"/>
  </w:num>
  <w:num w:numId="7">
    <w:abstractNumId w:val="5"/>
  </w:num>
  <w:num w:numId="8">
    <w:abstractNumId w:val="27"/>
  </w:num>
  <w:num w:numId="9">
    <w:abstractNumId w:val="14"/>
  </w:num>
  <w:num w:numId="10">
    <w:abstractNumId w:val="17"/>
  </w:num>
  <w:num w:numId="11">
    <w:abstractNumId w:val="32"/>
  </w:num>
  <w:num w:numId="12">
    <w:abstractNumId w:val="33"/>
  </w:num>
  <w:num w:numId="13">
    <w:abstractNumId w:val="4"/>
  </w:num>
  <w:num w:numId="14">
    <w:abstractNumId w:val="2"/>
  </w:num>
  <w:num w:numId="15">
    <w:abstractNumId w:val="25"/>
  </w:num>
  <w:num w:numId="16">
    <w:abstractNumId w:val="39"/>
  </w:num>
  <w:num w:numId="17">
    <w:abstractNumId w:val="0"/>
  </w:num>
  <w:num w:numId="18">
    <w:abstractNumId w:val="40"/>
  </w:num>
  <w:num w:numId="19">
    <w:abstractNumId w:val="38"/>
  </w:num>
  <w:num w:numId="20">
    <w:abstractNumId w:val="37"/>
  </w:num>
  <w:num w:numId="21">
    <w:abstractNumId w:val="6"/>
  </w:num>
  <w:num w:numId="22">
    <w:abstractNumId w:val="28"/>
  </w:num>
  <w:num w:numId="23">
    <w:abstractNumId w:val="30"/>
  </w:num>
  <w:num w:numId="24">
    <w:abstractNumId w:val="36"/>
  </w:num>
  <w:num w:numId="25">
    <w:abstractNumId w:val="10"/>
  </w:num>
  <w:num w:numId="26">
    <w:abstractNumId w:val="44"/>
  </w:num>
  <w:num w:numId="27">
    <w:abstractNumId w:val="21"/>
  </w:num>
  <w:num w:numId="28">
    <w:abstractNumId w:val="1"/>
  </w:num>
  <w:num w:numId="29">
    <w:abstractNumId w:val="8"/>
  </w:num>
  <w:num w:numId="30">
    <w:abstractNumId w:val="12"/>
  </w:num>
  <w:num w:numId="31">
    <w:abstractNumId w:val="45"/>
  </w:num>
  <w:num w:numId="32">
    <w:abstractNumId w:val="29"/>
  </w:num>
  <w:num w:numId="33">
    <w:abstractNumId w:val="13"/>
  </w:num>
  <w:num w:numId="34">
    <w:abstractNumId w:val="35"/>
  </w:num>
  <w:num w:numId="35">
    <w:abstractNumId w:val="26"/>
  </w:num>
  <w:num w:numId="36">
    <w:abstractNumId w:val="9"/>
  </w:num>
  <w:num w:numId="37">
    <w:abstractNumId w:val="20"/>
  </w:num>
  <w:num w:numId="38">
    <w:abstractNumId w:val="43"/>
  </w:num>
  <w:num w:numId="39">
    <w:abstractNumId w:val="15"/>
  </w:num>
  <w:num w:numId="40">
    <w:abstractNumId w:val="16"/>
  </w:num>
  <w:num w:numId="41">
    <w:abstractNumId w:val="42"/>
  </w:num>
  <w:num w:numId="42">
    <w:abstractNumId w:val="11"/>
  </w:num>
  <w:num w:numId="43">
    <w:abstractNumId w:val="24"/>
  </w:num>
  <w:num w:numId="44">
    <w:abstractNumId w:val="3"/>
  </w:num>
  <w:num w:numId="45">
    <w:abstractNumId w:val="31"/>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4"/>
    <w:lvlOverride w:ilvl="0">
      <w:startOverride w:val="5"/>
    </w:lvlOverride>
    <w:lvlOverride w:ilvl="1">
      <w:startOverride w:val="3"/>
    </w:lvlOverride>
    <w:lvlOverride w:ilvl="2">
      <w:startOverride w:val="5"/>
    </w:lvlOverride>
    <w:lvlOverride w:ilvl="3">
      <w:startOverride w:val="4"/>
    </w:lvlOverride>
  </w:num>
  <w:num w:numId="48">
    <w:abstractNumId w:val="34"/>
    <w:lvlOverride w:ilvl="0">
      <w:startOverride w:val="5"/>
    </w:lvlOverride>
    <w:lvlOverride w:ilvl="1">
      <w:startOverride w:val="3"/>
    </w:lvlOverride>
    <w:lvlOverride w:ilvl="2">
      <w:startOverride w:val="5"/>
    </w:lvlOverride>
    <w:lvlOverride w:ilvl="3">
      <w:startOverride w:val="4"/>
    </w:lvlOverride>
  </w:num>
  <w:num w:numId="49">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defaultTabStop w:val="720"/>
  <w:hyphenationZone w:val="425"/>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311A"/>
    <w:rsid w:val="0000321E"/>
    <w:rsid w:val="00003465"/>
    <w:rsid w:val="000037CA"/>
    <w:rsid w:val="00003BB7"/>
    <w:rsid w:val="000043BB"/>
    <w:rsid w:val="0000455C"/>
    <w:rsid w:val="000059B7"/>
    <w:rsid w:val="00005ACF"/>
    <w:rsid w:val="00006787"/>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5215"/>
    <w:rsid w:val="00026DD2"/>
    <w:rsid w:val="00027118"/>
    <w:rsid w:val="00027BEA"/>
    <w:rsid w:val="00027C6E"/>
    <w:rsid w:val="00031612"/>
    <w:rsid w:val="00033D71"/>
    <w:rsid w:val="000343D3"/>
    <w:rsid w:val="0003547B"/>
    <w:rsid w:val="000362CF"/>
    <w:rsid w:val="00036973"/>
    <w:rsid w:val="00037FCD"/>
    <w:rsid w:val="0004162A"/>
    <w:rsid w:val="00044ACC"/>
    <w:rsid w:val="00044C69"/>
    <w:rsid w:val="000464BA"/>
    <w:rsid w:val="00046EA5"/>
    <w:rsid w:val="0004760F"/>
    <w:rsid w:val="00047A6F"/>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578D"/>
    <w:rsid w:val="0006640F"/>
    <w:rsid w:val="00067191"/>
    <w:rsid w:val="000677EA"/>
    <w:rsid w:val="00067937"/>
    <w:rsid w:val="00070C3F"/>
    <w:rsid w:val="000738CB"/>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7173"/>
    <w:rsid w:val="0009198B"/>
    <w:rsid w:val="00091AE6"/>
    <w:rsid w:val="00092079"/>
    <w:rsid w:val="00092934"/>
    <w:rsid w:val="00092C02"/>
    <w:rsid w:val="00093382"/>
    <w:rsid w:val="0009537D"/>
    <w:rsid w:val="00095D0B"/>
    <w:rsid w:val="0009603A"/>
    <w:rsid w:val="000967EE"/>
    <w:rsid w:val="0009736D"/>
    <w:rsid w:val="000979A7"/>
    <w:rsid w:val="00097F77"/>
    <w:rsid w:val="000A04A4"/>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E17"/>
    <w:rsid w:val="000C6658"/>
    <w:rsid w:val="000C6C63"/>
    <w:rsid w:val="000D11F7"/>
    <w:rsid w:val="000D1253"/>
    <w:rsid w:val="000D3F81"/>
    <w:rsid w:val="000D44D7"/>
    <w:rsid w:val="000D5183"/>
    <w:rsid w:val="000E01C4"/>
    <w:rsid w:val="000E05E7"/>
    <w:rsid w:val="000E0D95"/>
    <w:rsid w:val="000E1869"/>
    <w:rsid w:val="000E1CB0"/>
    <w:rsid w:val="000E24FD"/>
    <w:rsid w:val="000E2DC8"/>
    <w:rsid w:val="000E3778"/>
    <w:rsid w:val="000E3B7B"/>
    <w:rsid w:val="000E3C13"/>
    <w:rsid w:val="000E47A9"/>
    <w:rsid w:val="000E5A72"/>
    <w:rsid w:val="000F01B4"/>
    <w:rsid w:val="000F0838"/>
    <w:rsid w:val="000F2D1B"/>
    <w:rsid w:val="000F6096"/>
    <w:rsid w:val="000F6DC3"/>
    <w:rsid w:val="000F71F5"/>
    <w:rsid w:val="000F74A9"/>
    <w:rsid w:val="000F786E"/>
    <w:rsid w:val="000F7A07"/>
    <w:rsid w:val="000F7E19"/>
    <w:rsid w:val="00100F89"/>
    <w:rsid w:val="0010104F"/>
    <w:rsid w:val="0010163E"/>
    <w:rsid w:val="00101A44"/>
    <w:rsid w:val="00102E81"/>
    <w:rsid w:val="00103C22"/>
    <w:rsid w:val="00104ACF"/>
    <w:rsid w:val="00104B6A"/>
    <w:rsid w:val="00104C28"/>
    <w:rsid w:val="00105F16"/>
    <w:rsid w:val="001065E3"/>
    <w:rsid w:val="001069AD"/>
    <w:rsid w:val="00106C7C"/>
    <w:rsid w:val="00111073"/>
    <w:rsid w:val="0011185E"/>
    <w:rsid w:val="001119D7"/>
    <w:rsid w:val="00111A50"/>
    <w:rsid w:val="00111AA3"/>
    <w:rsid w:val="00111DF2"/>
    <w:rsid w:val="00112002"/>
    <w:rsid w:val="00112084"/>
    <w:rsid w:val="0011254F"/>
    <w:rsid w:val="00112A7F"/>
    <w:rsid w:val="00113632"/>
    <w:rsid w:val="00114803"/>
    <w:rsid w:val="00116187"/>
    <w:rsid w:val="00116F90"/>
    <w:rsid w:val="00117093"/>
    <w:rsid w:val="0011797F"/>
    <w:rsid w:val="0012046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698"/>
    <w:rsid w:val="00131FBE"/>
    <w:rsid w:val="001348B1"/>
    <w:rsid w:val="001349EB"/>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503C"/>
    <w:rsid w:val="001460AC"/>
    <w:rsid w:val="00147469"/>
    <w:rsid w:val="00147E07"/>
    <w:rsid w:val="00150D9F"/>
    <w:rsid w:val="00150EAC"/>
    <w:rsid w:val="0015199E"/>
    <w:rsid w:val="00152162"/>
    <w:rsid w:val="001540C6"/>
    <w:rsid w:val="001558FF"/>
    <w:rsid w:val="00155AB9"/>
    <w:rsid w:val="0015614F"/>
    <w:rsid w:val="00156B25"/>
    <w:rsid w:val="00160274"/>
    <w:rsid w:val="00160860"/>
    <w:rsid w:val="00160B7F"/>
    <w:rsid w:val="00163D65"/>
    <w:rsid w:val="0016426B"/>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4076"/>
    <w:rsid w:val="00174403"/>
    <w:rsid w:val="001745C1"/>
    <w:rsid w:val="00174DA5"/>
    <w:rsid w:val="00175631"/>
    <w:rsid w:val="00175AD2"/>
    <w:rsid w:val="0017654A"/>
    <w:rsid w:val="00177993"/>
    <w:rsid w:val="0018039A"/>
    <w:rsid w:val="001807D9"/>
    <w:rsid w:val="001807E7"/>
    <w:rsid w:val="00182927"/>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1061"/>
    <w:rsid w:val="001A1E03"/>
    <w:rsid w:val="001A241E"/>
    <w:rsid w:val="001A25E4"/>
    <w:rsid w:val="001A3300"/>
    <w:rsid w:val="001A3D1F"/>
    <w:rsid w:val="001A3F52"/>
    <w:rsid w:val="001A5A6D"/>
    <w:rsid w:val="001A7583"/>
    <w:rsid w:val="001A7A9E"/>
    <w:rsid w:val="001A7BB7"/>
    <w:rsid w:val="001A7C80"/>
    <w:rsid w:val="001B03A6"/>
    <w:rsid w:val="001B042D"/>
    <w:rsid w:val="001B0D18"/>
    <w:rsid w:val="001B19F6"/>
    <w:rsid w:val="001B241A"/>
    <w:rsid w:val="001B2B35"/>
    <w:rsid w:val="001B2C38"/>
    <w:rsid w:val="001B2F7D"/>
    <w:rsid w:val="001B3939"/>
    <w:rsid w:val="001B467E"/>
    <w:rsid w:val="001B4A6E"/>
    <w:rsid w:val="001B6543"/>
    <w:rsid w:val="001B7CDF"/>
    <w:rsid w:val="001C06BF"/>
    <w:rsid w:val="001C08A0"/>
    <w:rsid w:val="001C230D"/>
    <w:rsid w:val="001C3846"/>
    <w:rsid w:val="001C481D"/>
    <w:rsid w:val="001C6BCF"/>
    <w:rsid w:val="001C6DD2"/>
    <w:rsid w:val="001C7175"/>
    <w:rsid w:val="001D01C0"/>
    <w:rsid w:val="001D050D"/>
    <w:rsid w:val="001D1C6A"/>
    <w:rsid w:val="001D1DD1"/>
    <w:rsid w:val="001D1F08"/>
    <w:rsid w:val="001D2968"/>
    <w:rsid w:val="001D42C7"/>
    <w:rsid w:val="001D4711"/>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30D"/>
    <w:rsid w:val="001F4D79"/>
    <w:rsid w:val="001F5514"/>
    <w:rsid w:val="001F5C2E"/>
    <w:rsid w:val="001F5CA1"/>
    <w:rsid w:val="001F62E1"/>
    <w:rsid w:val="001F65DB"/>
    <w:rsid w:val="001F72F4"/>
    <w:rsid w:val="001F7D9F"/>
    <w:rsid w:val="001F7FEF"/>
    <w:rsid w:val="002013B3"/>
    <w:rsid w:val="00202190"/>
    <w:rsid w:val="00202DDC"/>
    <w:rsid w:val="002065BE"/>
    <w:rsid w:val="002068E7"/>
    <w:rsid w:val="00206E88"/>
    <w:rsid w:val="002114D0"/>
    <w:rsid w:val="00211629"/>
    <w:rsid w:val="002124F8"/>
    <w:rsid w:val="00212767"/>
    <w:rsid w:val="002129BC"/>
    <w:rsid w:val="0021478C"/>
    <w:rsid w:val="00215F0A"/>
    <w:rsid w:val="002165E9"/>
    <w:rsid w:val="002168A6"/>
    <w:rsid w:val="002170D0"/>
    <w:rsid w:val="00217ECC"/>
    <w:rsid w:val="0022034C"/>
    <w:rsid w:val="00220B09"/>
    <w:rsid w:val="00221358"/>
    <w:rsid w:val="00221CB8"/>
    <w:rsid w:val="00221D91"/>
    <w:rsid w:val="00223451"/>
    <w:rsid w:val="00223AA5"/>
    <w:rsid w:val="00225E2B"/>
    <w:rsid w:val="00226C28"/>
    <w:rsid w:val="00226C55"/>
    <w:rsid w:val="002273C1"/>
    <w:rsid w:val="00227FBA"/>
    <w:rsid w:val="00230284"/>
    <w:rsid w:val="00230F9F"/>
    <w:rsid w:val="00231705"/>
    <w:rsid w:val="002333B8"/>
    <w:rsid w:val="00233676"/>
    <w:rsid w:val="0023429F"/>
    <w:rsid w:val="0023487E"/>
    <w:rsid w:val="002359D6"/>
    <w:rsid w:val="0023794F"/>
    <w:rsid w:val="00237E90"/>
    <w:rsid w:val="002401C9"/>
    <w:rsid w:val="0024146A"/>
    <w:rsid w:val="00241971"/>
    <w:rsid w:val="00243540"/>
    <w:rsid w:val="00244267"/>
    <w:rsid w:val="002443E9"/>
    <w:rsid w:val="00245BF5"/>
    <w:rsid w:val="00245D9A"/>
    <w:rsid w:val="00246201"/>
    <w:rsid w:val="00246FEA"/>
    <w:rsid w:val="00247306"/>
    <w:rsid w:val="0025000B"/>
    <w:rsid w:val="00250587"/>
    <w:rsid w:val="002510E9"/>
    <w:rsid w:val="00252672"/>
    <w:rsid w:val="0025326E"/>
    <w:rsid w:val="0025402C"/>
    <w:rsid w:val="00256655"/>
    <w:rsid w:val="0025669D"/>
    <w:rsid w:val="002575DB"/>
    <w:rsid w:val="0025789C"/>
    <w:rsid w:val="002603A0"/>
    <w:rsid w:val="00260EC7"/>
    <w:rsid w:val="00260EED"/>
    <w:rsid w:val="002613A8"/>
    <w:rsid w:val="00262065"/>
    <w:rsid w:val="0026475C"/>
    <w:rsid w:val="0026584E"/>
    <w:rsid w:val="00265ABD"/>
    <w:rsid w:val="00265D0D"/>
    <w:rsid w:val="00267394"/>
    <w:rsid w:val="00267A3C"/>
    <w:rsid w:val="00271FB7"/>
    <w:rsid w:val="002720A4"/>
    <w:rsid w:val="00272FEA"/>
    <w:rsid w:val="002733D0"/>
    <w:rsid w:val="0027366E"/>
    <w:rsid w:val="00273C32"/>
    <w:rsid w:val="00274E81"/>
    <w:rsid w:val="00280CEE"/>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97508"/>
    <w:rsid w:val="002A07F7"/>
    <w:rsid w:val="002A0C60"/>
    <w:rsid w:val="002A16F8"/>
    <w:rsid w:val="002A211D"/>
    <w:rsid w:val="002A2E7B"/>
    <w:rsid w:val="002A412D"/>
    <w:rsid w:val="002A544B"/>
    <w:rsid w:val="002A70F0"/>
    <w:rsid w:val="002A7350"/>
    <w:rsid w:val="002A7359"/>
    <w:rsid w:val="002B0145"/>
    <w:rsid w:val="002B1B80"/>
    <w:rsid w:val="002B1CD8"/>
    <w:rsid w:val="002B1EE7"/>
    <w:rsid w:val="002B2BE1"/>
    <w:rsid w:val="002B2D71"/>
    <w:rsid w:val="002B36C6"/>
    <w:rsid w:val="002B3911"/>
    <w:rsid w:val="002B3C27"/>
    <w:rsid w:val="002B57D4"/>
    <w:rsid w:val="002B7789"/>
    <w:rsid w:val="002C0B68"/>
    <w:rsid w:val="002C1EF6"/>
    <w:rsid w:val="002C4082"/>
    <w:rsid w:val="002C45B4"/>
    <w:rsid w:val="002C6AEE"/>
    <w:rsid w:val="002C75B4"/>
    <w:rsid w:val="002C7AE7"/>
    <w:rsid w:val="002D0233"/>
    <w:rsid w:val="002D047E"/>
    <w:rsid w:val="002D0E48"/>
    <w:rsid w:val="002D1DE8"/>
    <w:rsid w:val="002D2540"/>
    <w:rsid w:val="002D27E9"/>
    <w:rsid w:val="002D3566"/>
    <w:rsid w:val="002D5432"/>
    <w:rsid w:val="002D647E"/>
    <w:rsid w:val="002D685D"/>
    <w:rsid w:val="002D718A"/>
    <w:rsid w:val="002E0414"/>
    <w:rsid w:val="002E1A67"/>
    <w:rsid w:val="002E1A79"/>
    <w:rsid w:val="002E1DEF"/>
    <w:rsid w:val="002E23D7"/>
    <w:rsid w:val="002E23EB"/>
    <w:rsid w:val="002E25F5"/>
    <w:rsid w:val="002E3D8C"/>
    <w:rsid w:val="002E4760"/>
    <w:rsid w:val="002F021F"/>
    <w:rsid w:val="002F0DF7"/>
    <w:rsid w:val="002F0F5D"/>
    <w:rsid w:val="002F2A0B"/>
    <w:rsid w:val="002F3144"/>
    <w:rsid w:val="002F3825"/>
    <w:rsid w:val="002F3BF2"/>
    <w:rsid w:val="002F3EAA"/>
    <w:rsid w:val="002F453A"/>
    <w:rsid w:val="002F4578"/>
    <w:rsid w:val="002F5536"/>
    <w:rsid w:val="002F703D"/>
    <w:rsid w:val="00300393"/>
    <w:rsid w:val="003017BF"/>
    <w:rsid w:val="00301F91"/>
    <w:rsid w:val="00303198"/>
    <w:rsid w:val="003032AC"/>
    <w:rsid w:val="00303A35"/>
    <w:rsid w:val="00303E55"/>
    <w:rsid w:val="00304322"/>
    <w:rsid w:val="00305268"/>
    <w:rsid w:val="00306D5D"/>
    <w:rsid w:val="00310765"/>
    <w:rsid w:val="00312E54"/>
    <w:rsid w:val="00313B15"/>
    <w:rsid w:val="003142F8"/>
    <w:rsid w:val="00314A99"/>
    <w:rsid w:val="0031563D"/>
    <w:rsid w:val="003201B3"/>
    <w:rsid w:val="003214A0"/>
    <w:rsid w:val="00321A47"/>
    <w:rsid w:val="00322341"/>
    <w:rsid w:val="003230C7"/>
    <w:rsid w:val="0032352F"/>
    <w:rsid w:val="00323B76"/>
    <w:rsid w:val="00323BC7"/>
    <w:rsid w:val="0032484A"/>
    <w:rsid w:val="00324C91"/>
    <w:rsid w:val="00326339"/>
    <w:rsid w:val="00327239"/>
    <w:rsid w:val="0032761C"/>
    <w:rsid w:val="00327B43"/>
    <w:rsid w:val="00330191"/>
    <w:rsid w:val="0033090B"/>
    <w:rsid w:val="00330E3E"/>
    <w:rsid w:val="00331796"/>
    <w:rsid w:val="0033189C"/>
    <w:rsid w:val="00332855"/>
    <w:rsid w:val="0033343C"/>
    <w:rsid w:val="0033435E"/>
    <w:rsid w:val="00334C31"/>
    <w:rsid w:val="00335B0F"/>
    <w:rsid w:val="00336352"/>
    <w:rsid w:val="00336C95"/>
    <w:rsid w:val="00337BD1"/>
    <w:rsid w:val="003403AE"/>
    <w:rsid w:val="0034096D"/>
    <w:rsid w:val="0034173F"/>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8A3"/>
    <w:rsid w:val="00360492"/>
    <w:rsid w:val="00362012"/>
    <w:rsid w:val="0036204B"/>
    <w:rsid w:val="0036357F"/>
    <w:rsid w:val="00364997"/>
    <w:rsid w:val="00364F8D"/>
    <w:rsid w:val="00365CA5"/>
    <w:rsid w:val="003700FB"/>
    <w:rsid w:val="00371A0E"/>
    <w:rsid w:val="003720FF"/>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33A8"/>
    <w:rsid w:val="003878C1"/>
    <w:rsid w:val="003918BC"/>
    <w:rsid w:val="00393247"/>
    <w:rsid w:val="00394103"/>
    <w:rsid w:val="00394236"/>
    <w:rsid w:val="00394CBE"/>
    <w:rsid w:val="00395015"/>
    <w:rsid w:val="00396214"/>
    <w:rsid w:val="003A08C5"/>
    <w:rsid w:val="003A0DA3"/>
    <w:rsid w:val="003A21ED"/>
    <w:rsid w:val="003A2885"/>
    <w:rsid w:val="003A3B0D"/>
    <w:rsid w:val="003A3D43"/>
    <w:rsid w:val="003A5A98"/>
    <w:rsid w:val="003A5C51"/>
    <w:rsid w:val="003A5F89"/>
    <w:rsid w:val="003A7454"/>
    <w:rsid w:val="003A7705"/>
    <w:rsid w:val="003A770F"/>
    <w:rsid w:val="003B0AC7"/>
    <w:rsid w:val="003B14C2"/>
    <w:rsid w:val="003B1B5C"/>
    <w:rsid w:val="003B5056"/>
    <w:rsid w:val="003B6258"/>
    <w:rsid w:val="003B7621"/>
    <w:rsid w:val="003B7B3A"/>
    <w:rsid w:val="003C0608"/>
    <w:rsid w:val="003C0D13"/>
    <w:rsid w:val="003C140C"/>
    <w:rsid w:val="003C140D"/>
    <w:rsid w:val="003C1556"/>
    <w:rsid w:val="003C1C5D"/>
    <w:rsid w:val="003C3BC6"/>
    <w:rsid w:val="003C544B"/>
    <w:rsid w:val="003C55D5"/>
    <w:rsid w:val="003C55F5"/>
    <w:rsid w:val="003D09AA"/>
    <w:rsid w:val="003D1BC2"/>
    <w:rsid w:val="003D23B8"/>
    <w:rsid w:val="003D2CE7"/>
    <w:rsid w:val="003D3D36"/>
    <w:rsid w:val="003D49F3"/>
    <w:rsid w:val="003D5480"/>
    <w:rsid w:val="003D5603"/>
    <w:rsid w:val="003D59D7"/>
    <w:rsid w:val="003D614E"/>
    <w:rsid w:val="003D6D2D"/>
    <w:rsid w:val="003D7733"/>
    <w:rsid w:val="003E0167"/>
    <w:rsid w:val="003E1722"/>
    <w:rsid w:val="003E2B3B"/>
    <w:rsid w:val="003E5CBB"/>
    <w:rsid w:val="003E6395"/>
    <w:rsid w:val="003E71A4"/>
    <w:rsid w:val="003E725D"/>
    <w:rsid w:val="003E7397"/>
    <w:rsid w:val="003E73A2"/>
    <w:rsid w:val="003E79C6"/>
    <w:rsid w:val="003F0430"/>
    <w:rsid w:val="003F1487"/>
    <w:rsid w:val="003F1522"/>
    <w:rsid w:val="003F191A"/>
    <w:rsid w:val="003F2284"/>
    <w:rsid w:val="003F30D6"/>
    <w:rsid w:val="003F51AC"/>
    <w:rsid w:val="003F5A32"/>
    <w:rsid w:val="003F697E"/>
    <w:rsid w:val="003F6B0F"/>
    <w:rsid w:val="003F6D59"/>
    <w:rsid w:val="003F754F"/>
    <w:rsid w:val="003F7F9E"/>
    <w:rsid w:val="004000DE"/>
    <w:rsid w:val="00400B70"/>
    <w:rsid w:val="0040175F"/>
    <w:rsid w:val="004018F8"/>
    <w:rsid w:val="004029F5"/>
    <w:rsid w:val="00402C62"/>
    <w:rsid w:val="00403187"/>
    <w:rsid w:val="004033B5"/>
    <w:rsid w:val="00403769"/>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46D8"/>
    <w:rsid w:val="00425415"/>
    <w:rsid w:val="00425DE4"/>
    <w:rsid w:val="00426145"/>
    <w:rsid w:val="00426B6F"/>
    <w:rsid w:val="00426C2E"/>
    <w:rsid w:val="0043045A"/>
    <w:rsid w:val="00431CCE"/>
    <w:rsid w:val="00432CCD"/>
    <w:rsid w:val="00432CE1"/>
    <w:rsid w:val="00433650"/>
    <w:rsid w:val="00434534"/>
    <w:rsid w:val="00434E88"/>
    <w:rsid w:val="0043515D"/>
    <w:rsid w:val="004361E6"/>
    <w:rsid w:val="0043788C"/>
    <w:rsid w:val="0044062C"/>
    <w:rsid w:val="00440976"/>
    <w:rsid w:val="00440B9A"/>
    <w:rsid w:val="00441325"/>
    <w:rsid w:val="00441BCB"/>
    <w:rsid w:val="00443C35"/>
    <w:rsid w:val="00444434"/>
    <w:rsid w:val="00445733"/>
    <w:rsid w:val="00445F25"/>
    <w:rsid w:val="00445FD8"/>
    <w:rsid w:val="00446921"/>
    <w:rsid w:val="00446BDF"/>
    <w:rsid w:val="00447C05"/>
    <w:rsid w:val="00450FA7"/>
    <w:rsid w:val="004510B8"/>
    <w:rsid w:val="00451134"/>
    <w:rsid w:val="0045121F"/>
    <w:rsid w:val="00451A3A"/>
    <w:rsid w:val="00452AFC"/>
    <w:rsid w:val="00454461"/>
    <w:rsid w:val="00455C91"/>
    <w:rsid w:val="00455FAA"/>
    <w:rsid w:val="00460946"/>
    <w:rsid w:val="004613B5"/>
    <w:rsid w:val="0046209C"/>
    <w:rsid w:val="00462AE3"/>
    <w:rsid w:val="00462E26"/>
    <w:rsid w:val="004661AB"/>
    <w:rsid w:val="00467DCD"/>
    <w:rsid w:val="0047097D"/>
    <w:rsid w:val="00470A2D"/>
    <w:rsid w:val="00471BBC"/>
    <w:rsid w:val="00471C34"/>
    <w:rsid w:val="00473C8B"/>
    <w:rsid w:val="0047498D"/>
    <w:rsid w:val="00475BC4"/>
    <w:rsid w:val="00477499"/>
    <w:rsid w:val="0047765B"/>
    <w:rsid w:val="00477ACD"/>
    <w:rsid w:val="00477E21"/>
    <w:rsid w:val="004820F6"/>
    <w:rsid w:val="00482175"/>
    <w:rsid w:val="00482878"/>
    <w:rsid w:val="0048287D"/>
    <w:rsid w:val="004838AA"/>
    <w:rsid w:val="00483FEC"/>
    <w:rsid w:val="00484454"/>
    <w:rsid w:val="0048475F"/>
    <w:rsid w:val="00487231"/>
    <w:rsid w:val="0048728C"/>
    <w:rsid w:val="00487465"/>
    <w:rsid w:val="00490393"/>
    <w:rsid w:val="00490729"/>
    <w:rsid w:val="00491971"/>
    <w:rsid w:val="004923C4"/>
    <w:rsid w:val="0049285C"/>
    <w:rsid w:val="00492C1C"/>
    <w:rsid w:val="00493EE1"/>
    <w:rsid w:val="00496053"/>
    <w:rsid w:val="00497378"/>
    <w:rsid w:val="00497460"/>
    <w:rsid w:val="00497494"/>
    <w:rsid w:val="004976F2"/>
    <w:rsid w:val="00497B35"/>
    <w:rsid w:val="004A0AD8"/>
    <w:rsid w:val="004A0F9F"/>
    <w:rsid w:val="004A2378"/>
    <w:rsid w:val="004A3AB1"/>
    <w:rsid w:val="004A4331"/>
    <w:rsid w:val="004A5FD9"/>
    <w:rsid w:val="004A7071"/>
    <w:rsid w:val="004B0216"/>
    <w:rsid w:val="004B10DE"/>
    <w:rsid w:val="004B1F8B"/>
    <w:rsid w:val="004B20F3"/>
    <w:rsid w:val="004B4D17"/>
    <w:rsid w:val="004B53D8"/>
    <w:rsid w:val="004B5D94"/>
    <w:rsid w:val="004B64BB"/>
    <w:rsid w:val="004B6A12"/>
    <w:rsid w:val="004B6AA1"/>
    <w:rsid w:val="004B6D0B"/>
    <w:rsid w:val="004C02CC"/>
    <w:rsid w:val="004C3188"/>
    <w:rsid w:val="004C38C3"/>
    <w:rsid w:val="004C3C1A"/>
    <w:rsid w:val="004C563D"/>
    <w:rsid w:val="004C6208"/>
    <w:rsid w:val="004C6368"/>
    <w:rsid w:val="004C69AA"/>
    <w:rsid w:val="004C7383"/>
    <w:rsid w:val="004C74AF"/>
    <w:rsid w:val="004D034A"/>
    <w:rsid w:val="004D1CEB"/>
    <w:rsid w:val="004D3A2C"/>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3CD"/>
    <w:rsid w:val="004E6767"/>
    <w:rsid w:val="004F0C2A"/>
    <w:rsid w:val="004F1695"/>
    <w:rsid w:val="004F21D5"/>
    <w:rsid w:val="004F2243"/>
    <w:rsid w:val="004F2666"/>
    <w:rsid w:val="004F27D4"/>
    <w:rsid w:val="004F2FC0"/>
    <w:rsid w:val="004F30D0"/>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AE6"/>
    <w:rsid w:val="00533C1B"/>
    <w:rsid w:val="0053414B"/>
    <w:rsid w:val="00535C8D"/>
    <w:rsid w:val="00535F21"/>
    <w:rsid w:val="00536493"/>
    <w:rsid w:val="0053676B"/>
    <w:rsid w:val="00536AEA"/>
    <w:rsid w:val="00536D3C"/>
    <w:rsid w:val="00536F29"/>
    <w:rsid w:val="0053739F"/>
    <w:rsid w:val="00541292"/>
    <w:rsid w:val="00542253"/>
    <w:rsid w:val="00542513"/>
    <w:rsid w:val="005433FA"/>
    <w:rsid w:val="00544566"/>
    <w:rsid w:val="00545B4A"/>
    <w:rsid w:val="00545B6C"/>
    <w:rsid w:val="0055028B"/>
    <w:rsid w:val="00551677"/>
    <w:rsid w:val="005518EC"/>
    <w:rsid w:val="00552732"/>
    <w:rsid w:val="0055283F"/>
    <w:rsid w:val="005530F9"/>
    <w:rsid w:val="0055443F"/>
    <w:rsid w:val="0055475D"/>
    <w:rsid w:val="005552F0"/>
    <w:rsid w:val="005557AD"/>
    <w:rsid w:val="00555E44"/>
    <w:rsid w:val="005601E1"/>
    <w:rsid w:val="00560550"/>
    <w:rsid w:val="0056248E"/>
    <w:rsid w:val="005652F6"/>
    <w:rsid w:val="00566770"/>
    <w:rsid w:val="00566CF0"/>
    <w:rsid w:val="00567EBC"/>
    <w:rsid w:val="00571232"/>
    <w:rsid w:val="00572B24"/>
    <w:rsid w:val="00572EAB"/>
    <w:rsid w:val="0057323D"/>
    <w:rsid w:val="005739F3"/>
    <w:rsid w:val="0057460B"/>
    <w:rsid w:val="0057505D"/>
    <w:rsid w:val="005751B7"/>
    <w:rsid w:val="00575222"/>
    <w:rsid w:val="00575E8D"/>
    <w:rsid w:val="00575F99"/>
    <w:rsid w:val="00576DFA"/>
    <w:rsid w:val="00577A58"/>
    <w:rsid w:val="005826A9"/>
    <w:rsid w:val="00582AC7"/>
    <w:rsid w:val="00583C42"/>
    <w:rsid w:val="0058421D"/>
    <w:rsid w:val="005844D3"/>
    <w:rsid w:val="00584A8A"/>
    <w:rsid w:val="00585607"/>
    <w:rsid w:val="00585649"/>
    <w:rsid w:val="005866CC"/>
    <w:rsid w:val="00590D0C"/>
    <w:rsid w:val="00591228"/>
    <w:rsid w:val="00591818"/>
    <w:rsid w:val="005924B1"/>
    <w:rsid w:val="00592893"/>
    <w:rsid w:val="00592C33"/>
    <w:rsid w:val="0059337A"/>
    <w:rsid w:val="005936D2"/>
    <w:rsid w:val="0059394A"/>
    <w:rsid w:val="00593AFD"/>
    <w:rsid w:val="00593BA2"/>
    <w:rsid w:val="00594CE5"/>
    <w:rsid w:val="005950C4"/>
    <w:rsid w:val="00595911"/>
    <w:rsid w:val="00597096"/>
    <w:rsid w:val="005A10D4"/>
    <w:rsid w:val="005A31C5"/>
    <w:rsid w:val="005A36A0"/>
    <w:rsid w:val="005A47B4"/>
    <w:rsid w:val="005A49E6"/>
    <w:rsid w:val="005A57EC"/>
    <w:rsid w:val="005A5B15"/>
    <w:rsid w:val="005A5D50"/>
    <w:rsid w:val="005A62F5"/>
    <w:rsid w:val="005A6572"/>
    <w:rsid w:val="005A663C"/>
    <w:rsid w:val="005A70AF"/>
    <w:rsid w:val="005A7D47"/>
    <w:rsid w:val="005B0101"/>
    <w:rsid w:val="005B0E5B"/>
    <w:rsid w:val="005B11CD"/>
    <w:rsid w:val="005B1C83"/>
    <w:rsid w:val="005B29B3"/>
    <w:rsid w:val="005B356E"/>
    <w:rsid w:val="005B4B64"/>
    <w:rsid w:val="005B6FC6"/>
    <w:rsid w:val="005B7D46"/>
    <w:rsid w:val="005B7E9E"/>
    <w:rsid w:val="005C16E7"/>
    <w:rsid w:val="005C2095"/>
    <w:rsid w:val="005C2CE4"/>
    <w:rsid w:val="005C2DC8"/>
    <w:rsid w:val="005C3883"/>
    <w:rsid w:val="005C4020"/>
    <w:rsid w:val="005C4135"/>
    <w:rsid w:val="005C4644"/>
    <w:rsid w:val="005C47E0"/>
    <w:rsid w:val="005C4EB1"/>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EA6"/>
    <w:rsid w:val="005D7A3B"/>
    <w:rsid w:val="005E0137"/>
    <w:rsid w:val="005E02ED"/>
    <w:rsid w:val="005E1198"/>
    <w:rsid w:val="005E1542"/>
    <w:rsid w:val="005E1662"/>
    <w:rsid w:val="005E1856"/>
    <w:rsid w:val="005E203E"/>
    <w:rsid w:val="005E2432"/>
    <w:rsid w:val="005E3A28"/>
    <w:rsid w:val="005E42AD"/>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0605"/>
    <w:rsid w:val="00602297"/>
    <w:rsid w:val="0060299E"/>
    <w:rsid w:val="00602B94"/>
    <w:rsid w:val="00602F9F"/>
    <w:rsid w:val="00603007"/>
    <w:rsid w:val="00603CCA"/>
    <w:rsid w:val="0060441D"/>
    <w:rsid w:val="00604D13"/>
    <w:rsid w:val="00606DFB"/>
    <w:rsid w:val="00607E8B"/>
    <w:rsid w:val="00610534"/>
    <w:rsid w:val="00611B39"/>
    <w:rsid w:val="00611BDC"/>
    <w:rsid w:val="006122F4"/>
    <w:rsid w:val="00612926"/>
    <w:rsid w:val="00613B6F"/>
    <w:rsid w:val="006147FD"/>
    <w:rsid w:val="00614F4A"/>
    <w:rsid w:val="00620158"/>
    <w:rsid w:val="006228FC"/>
    <w:rsid w:val="00622F32"/>
    <w:rsid w:val="00623CC2"/>
    <w:rsid w:val="006248E2"/>
    <w:rsid w:val="00625DF4"/>
    <w:rsid w:val="00625E30"/>
    <w:rsid w:val="00626324"/>
    <w:rsid w:val="0062653D"/>
    <w:rsid w:val="00630819"/>
    <w:rsid w:val="00630BF2"/>
    <w:rsid w:val="00630C09"/>
    <w:rsid w:val="00630F30"/>
    <w:rsid w:val="00631229"/>
    <w:rsid w:val="00632508"/>
    <w:rsid w:val="006326B2"/>
    <w:rsid w:val="00633191"/>
    <w:rsid w:val="006333CC"/>
    <w:rsid w:val="00633586"/>
    <w:rsid w:val="006339DA"/>
    <w:rsid w:val="00633A1D"/>
    <w:rsid w:val="00634217"/>
    <w:rsid w:val="006342AB"/>
    <w:rsid w:val="00634590"/>
    <w:rsid w:val="00634B5D"/>
    <w:rsid w:val="00634BF3"/>
    <w:rsid w:val="006355E9"/>
    <w:rsid w:val="00637BBD"/>
    <w:rsid w:val="00640701"/>
    <w:rsid w:val="00640B92"/>
    <w:rsid w:val="00640FFE"/>
    <w:rsid w:val="006411B8"/>
    <w:rsid w:val="0064145F"/>
    <w:rsid w:val="00641620"/>
    <w:rsid w:val="006428A9"/>
    <w:rsid w:val="00643F10"/>
    <w:rsid w:val="006447D6"/>
    <w:rsid w:val="006449C9"/>
    <w:rsid w:val="0064500A"/>
    <w:rsid w:val="0064549F"/>
    <w:rsid w:val="00646346"/>
    <w:rsid w:val="00647526"/>
    <w:rsid w:val="006478ED"/>
    <w:rsid w:val="00647B6C"/>
    <w:rsid w:val="0065004F"/>
    <w:rsid w:val="006506AD"/>
    <w:rsid w:val="006511C5"/>
    <w:rsid w:val="00651606"/>
    <w:rsid w:val="00651E16"/>
    <w:rsid w:val="006521F1"/>
    <w:rsid w:val="0065418C"/>
    <w:rsid w:val="006556A8"/>
    <w:rsid w:val="00656149"/>
    <w:rsid w:val="00656954"/>
    <w:rsid w:val="0065698D"/>
    <w:rsid w:val="00657C7A"/>
    <w:rsid w:val="00660F3F"/>
    <w:rsid w:val="0066119A"/>
    <w:rsid w:val="00661EA1"/>
    <w:rsid w:val="00662100"/>
    <w:rsid w:val="0066224B"/>
    <w:rsid w:val="006633B8"/>
    <w:rsid w:val="00663D90"/>
    <w:rsid w:val="00664529"/>
    <w:rsid w:val="00664C74"/>
    <w:rsid w:val="00665F5A"/>
    <w:rsid w:val="00666EB6"/>
    <w:rsid w:val="00667664"/>
    <w:rsid w:val="006677BB"/>
    <w:rsid w:val="006707D3"/>
    <w:rsid w:val="00671B09"/>
    <w:rsid w:val="00672D51"/>
    <w:rsid w:val="006731F3"/>
    <w:rsid w:val="00673B0E"/>
    <w:rsid w:val="00673F23"/>
    <w:rsid w:val="00674B20"/>
    <w:rsid w:val="00674BF4"/>
    <w:rsid w:val="00675BB3"/>
    <w:rsid w:val="006763E9"/>
    <w:rsid w:val="00682662"/>
    <w:rsid w:val="00683F3A"/>
    <w:rsid w:val="006849A4"/>
    <w:rsid w:val="00685EC0"/>
    <w:rsid w:val="00690417"/>
    <w:rsid w:val="00690466"/>
    <w:rsid w:val="006911B4"/>
    <w:rsid w:val="00691624"/>
    <w:rsid w:val="00691AA7"/>
    <w:rsid w:val="006920E0"/>
    <w:rsid w:val="00694F07"/>
    <w:rsid w:val="00695725"/>
    <w:rsid w:val="00695952"/>
    <w:rsid w:val="00696FB2"/>
    <w:rsid w:val="006A00FE"/>
    <w:rsid w:val="006A05B3"/>
    <w:rsid w:val="006A1F8E"/>
    <w:rsid w:val="006A2E5B"/>
    <w:rsid w:val="006A3181"/>
    <w:rsid w:val="006A3537"/>
    <w:rsid w:val="006A382A"/>
    <w:rsid w:val="006A409D"/>
    <w:rsid w:val="006A548F"/>
    <w:rsid w:val="006A6639"/>
    <w:rsid w:val="006A726E"/>
    <w:rsid w:val="006A7318"/>
    <w:rsid w:val="006B07E6"/>
    <w:rsid w:val="006B0B03"/>
    <w:rsid w:val="006B0DD6"/>
    <w:rsid w:val="006B131B"/>
    <w:rsid w:val="006B2AE0"/>
    <w:rsid w:val="006B37EF"/>
    <w:rsid w:val="006B4446"/>
    <w:rsid w:val="006B4B67"/>
    <w:rsid w:val="006B50C5"/>
    <w:rsid w:val="006B5848"/>
    <w:rsid w:val="006B59D9"/>
    <w:rsid w:val="006B5B69"/>
    <w:rsid w:val="006B5BD4"/>
    <w:rsid w:val="006B61A1"/>
    <w:rsid w:val="006B6490"/>
    <w:rsid w:val="006B6B15"/>
    <w:rsid w:val="006B6DAF"/>
    <w:rsid w:val="006C0348"/>
    <w:rsid w:val="006C0BD1"/>
    <w:rsid w:val="006C22B0"/>
    <w:rsid w:val="006C43D9"/>
    <w:rsid w:val="006C54DD"/>
    <w:rsid w:val="006C5D32"/>
    <w:rsid w:val="006C5E02"/>
    <w:rsid w:val="006C6230"/>
    <w:rsid w:val="006C6376"/>
    <w:rsid w:val="006C65F4"/>
    <w:rsid w:val="006C7B62"/>
    <w:rsid w:val="006C7C34"/>
    <w:rsid w:val="006D0AC7"/>
    <w:rsid w:val="006D116C"/>
    <w:rsid w:val="006D1317"/>
    <w:rsid w:val="006D1799"/>
    <w:rsid w:val="006D21AC"/>
    <w:rsid w:val="006D5264"/>
    <w:rsid w:val="006D5962"/>
    <w:rsid w:val="006D59E0"/>
    <w:rsid w:val="006D64B8"/>
    <w:rsid w:val="006D6E2D"/>
    <w:rsid w:val="006D729A"/>
    <w:rsid w:val="006E27D1"/>
    <w:rsid w:val="006E2B28"/>
    <w:rsid w:val="006E34BF"/>
    <w:rsid w:val="006E47FC"/>
    <w:rsid w:val="006E4A00"/>
    <w:rsid w:val="006E5655"/>
    <w:rsid w:val="006E5C48"/>
    <w:rsid w:val="006E685F"/>
    <w:rsid w:val="006E6BC2"/>
    <w:rsid w:val="006E6DF8"/>
    <w:rsid w:val="006E715D"/>
    <w:rsid w:val="006E7D43"/>
    <w:rsid w:val="006F0B79"/>
    <w:rsid w:val="006F2478"/>
    <w:rsid w:val="006F24FB"/>
    <w:rsid w:val="006F2DD0"/>
    <w:rsid w:val="006F2E91"/>
    <w:rsid w:val="006F309C"/>
    <w:rsid w:val="006F30A0"/>
    <w:rsid w:val="006F45BE"/>
    <w:rsid w:val="006F490F"/>
    <w:rsid w:val="006F4D80"/>
    <w:rsid w:val="006F55CA"/>
    <w:rsid w:val="006F7C08"/>
    <w:rsid w:val="00700F69"/>
    <w:rsid w:val="00701ACB"/>
    <w:rsid w:val="0070222B"/>
    <w:rsid w:val="00702CB6"/>
    <w:rsid w:val="00703FC0"/>
    <w:rsid w:val="0070422F"/>
    <w:rsid w:val="00704408"/>
    <w:rsid w:val="00704501"/>
    <w:rsid w:val="007065CD"/>
    <w:rsid w:val="0070724C"/>
    <w:rsid w:val="007074BC"/>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53C7"/>
    <w:rsid w:val="00725A44"/>
    <w:rsid w:val="007269ED"/>
    <w:rsid w:val="00727108"/>
    <w:rsid w:val="007301F6"/>
    <w:rsid w:val="00730790"/>
    <w:rsid w:val="0073143B"/>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917"/>
    <w:rsid w:val="00747058"/>
    <w:rsid w:val="00747766"/>
    <w:rsid w:val="00750D3B"/>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C69"/>
    <w:rsid w:val="007758BF"/>
    <w:rsid w:val="007761C1"/>
    <w:rsid w:val="007767C2"/>
    <w:rsid w:val="00776F25"/>
    <w:rsid w:val="0077799B"/>
    <w:rsid w:val="00777E6D"/>
    <w:rsid w:val="00782D8E"/>
    <w:rsid w:val="007837C7"/>
    <w:rsid w:val="00785116"/>
    <w:rsid w:val="007852D5"/>
    <w:rsid w:val="00786CC3"/>
    <w:rsid w:val="00787E14"/>
    <w:rsid w:val="00793380"/>
    <w:rsid w:val="007936B7"/>
    <w:rsid w:val="00795B19"/>
    <w:rsid w:val="0079759A"/>
    <w:rsid w:val="00797CEE"/>
    <w:rsid w:val="00797FDB"/>
    <w:rsid w:val="007A02C1"/>
    <w:rsid w:val="007A0D48"/>
    <w:rsid w:val="007A0DDC"/>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2A3E"/>
    <w:rsid w:val="007B4CE9"/>
    <w:rsid w:val="007B4DAD"/>
    <w:rsid w:val="007B526D"/>
    <w:rsid w:val="007B5A7C"/>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FE6"/>
    <w:rsid w:val="007D0883"/>
    <w:rsid w:val="007D08CD"/>
    <w:rsid w:val="007D1001"/>
    <w:rsid w:val="007D1C73"/>
    <w:rsid w:val="007D1CF6"/>
    <w:rsid w:val="007D2401"/>
    <w:rsid w:val="007D27CA"/>
    <w:rsid w:val="007D39C2"/>
    <w:rsid w:val="007D3EC3"/>
    <w:rsid w:val="007D5670"/>
    <w:rsid w:val="007D6566"/>
    <w:rsid w:val="007D6B24"/>
    <w:rsid w:val="007D6F07"/>
    <w:rsid w:val="007E0620"/>
    <w:rsid w:val="007E0821"/>
    <w:rsid w:val="007E21FB"/>
    <w:rsid w:val="007E264A"/>
    <w:rsid w:val="007E2E1A"/>
    <w:rsid w:val="007E40BD"/>
    <w:rsid w:val="007E40F1"/>
    <w:rsid w:val="007E4883"/>
    <w:rsid w:val="007E49DF"/>
    <w:rsid w:val="007E5811"/>
    <w:rsid w:val="007E5891"/>
    <w:rsid w:val="007F20CE"/>
    <w:rsid w:val="007F3830"/>
    <w:rsid w:val="007F3AA8"/>
    <w:rsid w:val="007F4DC3"/>
    <w:rsid w:val="007F5905"/>
    <w:rsid w:val="007F6089"/>
    <w:rsid w:val="007F639C"/>
    <w:rsid w:val="007F66A8"/>
    <w:rsid w:val="007F72E1"/>
    <w:rsid w:val="0080148C"/>
    <w:rsid w:val="008016A0"/>
    <w:rsid w:val="008054AB"/>
    <w:rsid w:val="00805A73"/>
    <w:rsid w:val="00805A8C"/>
    <w:rsid w:val="00805BED"/>
    <w:rsid w:val="00806338"/>
    <w:rsid w:val="008072E9"/>
    <w:rsid w:val="0081079F"/>
    <w:rsid w:val="00810835"/>
    <w:rsid w:val="00810B79"/>
    <w:rsid w:val="008111E3"/>
    <w:rsid w:val="00811F16"/>
    <w:rsid w:val="008147E3"/>
    <w:rsid w:val="008158A9"/>
    <w:rsid w:val="0081595E"/>
    <w:rsid w:val="008165F9"/>
    <w:rsid w:val="00817DB1"/>
    <w:rsid w:val="00817FB2"/>
    <w:rsid w:val="00820E00"/>
    <w:rsid w:val="008219F4"/>
    <w:rsid w:val="008229BA"/>
    <w:rsid w:val="00824E74"/>
    <w:rsid w:val="00825DCB"/>
    <w:rsid w:val="00826E4A"/>
    <w:rsid w:val="0082748B"/>
    <w:rsid w:val="00827624"/>
    <w:rsid w:val="00830043"/>
    <w:rsid w:val="008308FA"/>
    <w:rsid w:val="0083200A"/>
    <w:rsid w:val="00832A95"/>
    <w:rsid w:val="0083483A"/>
    <w:rsid w:val="00834DE3"/>
    <w:rsid w:val="00836E05"/>
    <w:rsid w:val="00837FF2"/>
    <w:rsid w:val="00840FE0"/>
    <w:rsid w:val="00842FC0"/>
    <w:rsid w:val="00843B99"/>
    <w:rsid w:val="008440E1"/>
    <w:rsid w:val="00845C1D"/>
    <w:rsid w:val="00846800"/>
    <w:rsid w:val="008468B8"/>
    <w:rsid w:val="00846C77"/>
    <w:rsid w:val="00847D2F"/>
    <w:rsid w:val="00852D44"/>
    <w:rsid w:val="00855291"/>
    <w:rsid w:val="008576A8"/>
    <w:rsid w:val="008576D5"/>
    <w:rsid w:val="00857B49"/>
    <w:rsid w:val="00860518"/>
    <w:rsid w:val="00860B04"/>
    <w:rsid w:val="00862FE8"/>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6ABB"/>
    <w:rsid w:val="00877981"/>
    <w:rsid w:val="00877E78"/>
    <w:rsid w:val="00881261"/>
    <w:rsid w:val="008815FD"/>
    <w:rsid w:val="0088218C"/>
    <w:rsid w:val="00882C7D"/>
    <w:rsid w:val="00882DC4"/>
    <w:rsid w:val="00883BE6"/>
    <w:rsid w:val="00884122"/>
    <w:rsid w:val="00885793"/>
    <w:rsid w:val="00886A65"/>
    <w:rsid w:val="008873D9"/>
    <w:rsid w:val="0088749B"/>
    <w:rsid w:val="008874CE"/>
    <w:rsid w:val="00887CFE"/>
    <w:rsid w:val="00890696"/>
    <w:rsid w:val="00890D78"/>
    <w:rsid w:val="00891F58"/>
    <w:rsid w:val="00892BE1"/>
    <w:rsid w:val="00892FED"/>
    <w:rsid w:val="00893015"/>
    <w:rsid w:val="0089369E"/>
    <w:rsid w:val="0089383E"/>
    <w:rsid w:val="00894073"/>
    <w:rsid w:val="00894846"/>
    <w:rsid w:val="00895B54"/>
    <w:rsid w:val="0089695F"/>
    <w:rsid w:val="00896E9D"/>
    <w:rsid w:val="00897841"/>
    <w:rsid w:val="008A19E2"/>
    <w:rsid w:val="008A1CC3"/>
    <w:rsid w:val="008A3AE5"/>
    <w:rsid w:val="008A42EF"/>
    <w:rsid w:val="008A4FC9"/>
    <w:rsid w:val="008A546C"/>
    <w:rsid w:val="008A5D24"/>
    <w:rsid w:val="008A5E44"/>
    <w:rsid w:val="008A6263"/>
    <w:rsid w:val="008A66F1"/>
    <w:rsid w:val="008A742B"/>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3BCA"/>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3026"/>
    <w:rsid w:val="008F562F"/>
    <w:rsid w:val="008F665C"/>
    <w:rsid w:val="008F7BE3"/>
    <w:rsid w:val="008F7D64"/>
    <w:rsid w:val="008F7FF6"/>
    <w:rsid w:val="0090043B"/>
    <w:rsid w:val="00900DE5"/>
    <w:rsid w:val="009014FA"/>
    <w:rsid w:val="009015F5"/>
    <w:rsid w:val="009050ED"/>
    <w:rsid w:val="00907259"/>
    <w:rsid w:val="0091202C"/>
    <w:rsid w:val="009131AA"/>
    <w:rsid w:val="009136CB"/>
    <w:rsid w:val="00913C74"/>
    <w:rsid w:val="00914326"/>
    <w:rsid w:val="00914400"/>
    <w:rsid w:val="00914788"/>
    <w:rsid w:val="0091589E"/>
    <w:rsid w:val="00917494"/>
    <w:rsid w:val="009176D7"/>
    <w:rsid w:val="00920727"/>
    <w:rsid w:val="009216EB"/>
    <w:rsid w:val="00921AF7"/>
    <w:rsid w:val="00922B9A"/>
    <w:rsid w:val="00923F97"/>
    <w:rsid w:val="0092475F"/>
    <w:rsid w:val="00924B2B"/>
    <w:rsid w:val="009256FB"/>
    <w:rsid w:val="00926807"/>
    <w:rsid w:val="00926CC2"/>
    <w:rsid w:val="00926EB4"/>
    <w:rsid w:val="00927642"/>
    <w:rsid w:val="009300B3"/>
    <w:rsid w:val="009308E8"/>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6BC1"/>
    <w:rsid w:val="00947A98"/>
    <w:rsid w:val="00947BB6"/>
    <w:rsid w:val="00950C93"/>
    <w:rsid w:val="00950E3C"/>
    <w:rsid w:val="009513C8"/>
    <w:rsid w:val="009518A0"/>
    <w:rsid w:val="0095458B"/>
    <w:rsid w:val="00954629"/>
    <w:rsid w:val="00954AEC"/>
    <w:rsid w:val="009550F6"/>
    <w:rsid w:val="00955962"/>
    <w:rsid w:val="00955B10"/>
    <w:rsid w:val="00955B24"/>
    <w:rsid w:val="0095795E"/>
    <w:rsid w:val="00960AF0"/>
    <w:rsid w:val="00962D9E"/>
    <w:rsid w:val="009632A1"/>
    <w:rsid w:val="00964B7A"/>
    <w:rsid w:val="00965FE1"/>
    <w:rsid w:val="009661B0"/>
    <w:rsid w:val="009661F4"/>
    <w:rsid w:val="00966569"/>
    <w:rsid w:val="009669EC"/>
    <w:rsid w:val="00966E54"/>
    <w:rsid w:val="00967977"/>
    <w:rsid w:val="00967CC9"/>
    <w:rsid w:val="00967FC2"/>
    <w:rsid w:val="00970B1F"/>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276C"/>
    <w:rsid w:val="00982D5B"/>
    <w:rsid w:val="009831C3"/>
    <w:rsid w:val="00983561"/>
    <w:rsid w:val="00983CA1"/>
    <w:rsid w:val="00983DC9"/>
    <w:rsid w:val="00983DCA"/>
    <w:rsid w:val="00984044"/>
    <w:rsid w:val="00984808"/>
    <w:rsid w:val="00985517"/>
    <w:rsid w:val="00985612"/>
    <w:rsid w:val="0098590F"/>
    <w:rsid w:val="00985C29"/>
    <w:rsid w:val="009864CF"/>
    <w:rsid w:val="009865DF"/>
    <w:rsid w:val="00986AB7"/>
    <w:rsid w:val="00987BE5"/>
    <w:rsid w:val="0099004F"/>
    <w:rsid w:val="00990A37"/>
    <w:rsid w:val="00991197"/>
    <w:rsid w:val="00991587"/>
    <w:rsid w:val="00991D7B"/>
    <w:rsid w:val="00993A16"/>
    <w:rsid w:val="00993BF1"/>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68BA"/>
    <w:rsid w:val="009A6BC4"/>
    <w:rsid w:val="009A755F"/>
    <w:rsid w:val="009A76C3"/>
    <w:rsid w:val="009B1A1F"/>
    <w:rsid w:val="009B2C5C"/>
    <w:rsid w:val="009B309F"/>
    <w:rsid w:val="009B4B0D"/>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E07EB"/>
    <w:rsid w:val="009E1772"/>
    <w:rsid w:val="009E1BFB"/>
    <w:rsid w:val="009E1C2B"/>
    <w:rsid w:val="009E2625"/>
    <w:rsid w:val="009E2A8B"/>
    <w:rsid w:val="009E3978"/>
    <w:rsid w:val="009E39A6"/>
    <w:rsid w:val="009E39E5"/>
    <w:rsid w:val="009E658A"/>
    <w:rsid w:val="009E7926"/>
    <w:rsid w:val="009E7C72"/>
    <w:rsid w:val="009E7CCE"/>
    <w:rsid w:val="009F0E98"/>
    <w:rsid w:val="009F126B"/>
    <w:rsid w:val="009F139E"/>
    <w:rsid w:val="009F14CE"/>
    <w:rsid w:val="009F1A14"/>
    <w:rsid w:val="009F3988"/>
    <w:rsid w:val="009F50F9"/>
    <w:rsid w:val="009F545E"/>
    <w:rsid w:val="009F567F"/>
    <w:rsid w:val="009F6A70"/>
    <w:rsid w:val="009F71CD"/>
    <w:rsid w:val="009F725F"/>
    <w:rsid w:val="009F7419"/>
    <w:rsid w:val="009F751D"/>
    <w:rsid w:val="009F765E"/>
    <w:rsid w:val="00A00775"/>
    <w:rsid w:val="00A009D5"/>
    <w:rsid w:val="00A01136"/>
    <w:rsid w:val="00A01528"/>
    <w:rsid w:val="00A021F3"/>
    <w:rsid w:val="00A03842"/>
    <w:rsid w:val="00A04858"/>
    <w:rsid w:val="00A04AFF"/>
    <w:rsid w:val="00A05176"/>
    <w:rsid w:val="00A0750D"/>
    <w:rsid w:val="00A07A5F"/>
    <w:rsid w:val="00A1044C"/>
    <w:rsid w:val="00A1076B"/>
    <w:rsid w:val="00A10B08"/>
    <w:rsid w:val="00A10DB9"/>
    <w:rsid w:val="00A11091"/>
    <w:rsid w:val="00A11F90"/>
    <w:rsid w:val="00A128F5"/>
    <w:rsid w:val="00A13C9F"/>
    <w:rsid w:val="00A15B02"/>
    <w:rsid w:val="00A15FFB"/>
    <w:rsid w:val="00A172A4"/>
    <w:rsid w:val="00A172D8"/>
    <w:rsid w:val="00A2093D"/>
    <w:rsid w:val="00A20E3A"/>
    <w:rsid w:val="00A22EF1"/>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4EF8"/>
    <w:rsid w:val="00A352A5"/>
    <w:rsid w:val="00A368C3"/>
    <w:rsid w:val="00A369D3"/>
    <w:rsid w:val="00A3705E"/>
    <w:rsid w:val="00A37320"/>
    <w:rsid w:val="00A37342"/>
    <w:rsid w:val="00A41035"/>
    <w:rsid w:val="00A41163"/>
    <w:rsid w:val="00A415F5"/>
    <w:rsid w:val="00A42048"/>
    <w:rsid w:val="00A42B69"/>
    <w:rsid w:val="00A44966"/>
    <w:rsid w:val="00A452C0"/>
    <w:rsid w:val="00A46FE8"/>
    <w:rsid w:val="00A50249"/>
    <w:rsid w:val="00A51688"/>
    <w:rsid w:val="00A51B8D"/>
    <w:rsid w:val="00A51D34"/>
    <w:rsid w:val="00A53090"/>
    <w:rsid w:val="00A54A0E"/>
    <w:rsid w:val="00A54D64"/>
    <w:rsid w:val="00A557CB"/>
    <w:rsid w:val="00A557D1"/>
    <w:rsid w:val="00A56708"/>
    <w:rsid w:val="00A572A2"/>
    <w:rsid w:val="00A57FD4"/>
    <w:rsid w:val="00A60281"/>
    <w:rsid w:val="00A60877"/>
    <w:rsid w:val="00A611FD"/>
    <w:rsid w:val="00A612B3"/>
    <w:rsid w:val="00A616A2"/>
    <w:rsid w:val="00A61A6E"/>
    <w:rsid w:val="00A61D5E"/>
    <w:rsid w:val="00A62394"/>
    <w:rsid w:val="00A62738"/>
    <w:rsid w:val="00A643AC"/>
    <w:rsid w:val="00A64957"/>
    <w:rsid w:val="00A6560C"/>
    <w:rsid w:val="00A6707E"/>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DBE"/>
    <w:rsid w:val="00A97F45"/>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5DF"/>
    <w:rsid w:val="00AB5F1A"/>
    <w:rsid w:val="00AB6F51"/>
    <w:rsid w:val="00AB701F"/>
    <w:rsid w:val="00AB7D49"/>
    <w:rsid w:val="00AC061E"/>
    <w:rsid w:val="00AC0AA8"/>
    <w:rsid w:val="00AC3419"/>
    <w:rsid w:val="00AC436D"/>
    <w:rsid w:val="00AC599B"/>
    <w:rsid w:val="00AC6102"/>
    <w:rsid w:val="00AC644A"/>
    <w:rsid w:val="00AC67AB"/>
    <w:rsid w:val="00AC79B6"/>
    <w:rsid w:val="00AC7CF7"/>
    <w:rsid w:val="00AD044F"/>
    <w:rsid w:val="00AD0B2B"/>
    <w:rsid w:val="00AD1ABD"/>
    <w:rsid w:val="00AD4CED"/>
    <w:rsid w:val="00AD4FA5"/>
    <w:rsid w:val="00AD5583"/>
    <w:rsid w:val="00AD68B9"/>
    <w:rsid w:val="00AD7059"/>
    <w:rsid w:val="00AD7D54"/>
    <w:rsid w:val="00AE052B"/>
    <w:rsid w:val="00AE3DF0"/>
    <w:rsid w:val="00AE55BF"/>
    <w:rsid w:val="00AE57F7"/>
    <w:rsid w:val="00AE6981"/>
    <w:rsid w:val="00AE6C7E"/>
    <w:rsid w:val="00AF011E"/>
    <w:rsid w:val="00AF03CE"/>
    <w:rsid w:val="00AF188F"/>
    <w:rsid w:val="00AF34F8"/>
    <w:rsid w:val="00AF3703"/>
    <w:rsid w:val="00AF5045"/>
    <w:rsid w:val="00AF5A2F"/>
    <w:rsid w:val="00AF5EB7"/>
    <w:rsid w:val="00AF6208"/>
    <w:rsid w:val="00AF62A2"/>
    <w:rsid w:val="00AF6E31"/>
    <w:rsid w:val="00B00B08"/>
    <w:rsid w:val="00B0162D"/>
    <w:rsid w:val="00B01B12"/>
    <w:rsid w:val="00B01E6E"/>
    <w:rsid w:val="00B02310"/>
    <w:rsid w:val="00B03B27"/>
    <w:rsid w:val="00B04F39"/>
    <w:rsid w:val="00B05460"/>
    <w:rsid w:val="00B05CF7"/>
    <w:rsid w:val="00B06EC1"/>
    <w:rsid w:val="00B07516"/>
    <w:rsid w:val="00B111D8"/>
    <w:rsid w:val="00B1192D"/>
    <w:rsid w:val="00B1308C"/>
    <w:rsid w:val="00B1342F"/>
    <w:rsid w:val="00B13B51"/>
    <w:rsid w:val="00B15300"/>
    <w:rsid w:val="00B15B3B"/>
    <w:rsid w:val="00B15FE8"/>
    <w:rsid w:val="00B175B6"/>
    <w:rsid w:val="00B206C9"/>
    <w:rsid w:val="00B20B60"/>
    <w:rsid w:val="00B20B97"/>
    <w:rsid w:val="00B20B9A"/>
    <w:rsid w:val="00B219CE"/>
    <w:rsid w:val="00B22802"/>
    <w:rsid w:val="00B246B8"/>
    <w:rsid w:val="00B250D5"/>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49CD"/>
    <w:rsid w:val="00B353AD"/>
    <w:rsid w:val="00B359B5"/>
    <w:rsid w:val="00B36107"/>
    <w:rsid w:val="00B362E4"/>
    <w:rsid w:val="00B40385"/>
    <w:rsid w:val="00B4222B"/>
    <w:rsid w:val="00B427FB"/>
    <w:rsid w:val="00B4395D"/>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65E6"/>
    <w:rsid w:val="00B568A3"/>
    <w:rsid w:val="00B56B90"/>
    <w:rsid w:val="00B5774B"/>
    <w:rsid w:val="00B57B3A"/>
    <w:rsid w:val="00B60094"/>
    <w:rsid w:val="00B6314F"/>
    <w:rsid w:val="00B6340C"/>
    <w:rsid w:val="00B6392E"/>
    <w:rsid w:val="00B63FCB"/>
    <w:rsid w:val="00B6495E"/>
    <w:rsid w:val="00B64AC6"/>
    <w:rsid w:val="00B653C0"/>
    <w:rsid w:val="00B65D70"/>
    <w:rsid w:val="00B65DD9"/>
    <w:rsid w:val="00B6783D"/>
    <w:rsid w:val="00B67C52"/>
    <w:rsid w:val="00B67D69"/>
    <w:rsid w:val="00B701C2"/>
    <w:rsid w:val="00B70301"/>
    <w:rsid w:val="00B70F36"/>
    <w:rsid w:val="00B71CFB"/>
    <w:rsid w:val="00B71D9F"/>
    <w:rsid w:val="00B72194"/>
    <w:rsid w:val="00B7349E"/>
    <w:rsid w:val="00B737FA"/>
    <w:rsid w:val="00B73B06"/>
    <w:rsid w:val="00B73D08"/>
    <w:rsid w:val="00B7639E"/>
    <w:rsid w:val="00B77417"/>
    <w:rsid w:val="00B808BA"/>
    <w:rsid w:val="00B822BC"/>
    <w:rsid w:val="00B8261F"/>
    <w:rsid w:val="00B84201"/>
    <w:rsid w:val="00B843DF"/>
    <w:rsid w:val="00B861E2"/>
    <w:rsid w:val="00B86317"/>
    <w:rsid w:val="00B86522"/>
    <w:rsid w:val="00B90BC5"/>
    <w:rsid w:val="00B92FD5"/>
    <w:rsid w:val="00B94181"/>
    <w:rsid w:val="00B94209"/>
    <w:rsid w:val="00B94AB5"/>
    <w:rsid w:val="00B95270"/>
    <w:rsid w:val="00B95AFF"/>
    <w:rsid w:val="00B95CD3"/>
    <w:rsid w:val="00B96043"/>
    <w:rsid w:val="00B968DE"/>
    <w:rsid w:val="00B975C7"/>
    <w:rsid w:val="00BA1E62"/>
    <w:rsid w:val="00BA39F1"/>
    <w:rsid w:val="00BA47E8"/>
    <w:rsid w:val="00BA62F3"/>
    <w:rsid w:val="00BA633E"/>
    <w:rsid w:val="00BA6521"/>
    <w:rsid w:val="00BA6BF7"/>
    <w:rsid w:val="00BA6F2E"/>
    <w:rsid w:val="00BA73BC"/>
    <w:rsid w:val="00BB0662"/>
    <w:rsid w:val="00BB219D"/>
    <w:rsid w:val="00BB27CB"/>
    <w:rsid w:val="00BB2EF9"/>
    <w:rsid w:val="00BB33CB"/>
    <w:rsid w:val="00BB382E"/>
    <w:rsid w:val="00BB39E9"/>
    <w:rsid w:val="00BB3AFD"/>
    <w:rsid w:val="00BB4BF8"/>
    <w:rsid w:val="00BB5066"/>
    <w:rsid w:val="00BB740D"/>
    <w:rsid w:val="00BB7767"/>
    <w:rsid w:val="00BC02B0"/>
    <w:rsid w:val="00BC036C"/>
    <w:rsid w:val="00BC068F"/>
    <w:rsid w:val="00BC1E92"/>
    <w:rsid w:val="00BC263B"/>
    <w:rsid w:val="00BC2FBE"/>
    <w:rsid w:val="00BC33B4"/>
    <w:rsid w:val="00BC33FF"/>
    <w:rsid w:val="00BC41E6"/>
    <w:rsid w:val="00BC46E1"/>
    <w:rsid w:val="00BC51E7"/>
    <w:rsid w:val="00BC5E0D"/>
    <w:rsid w:val="00BC6088"/>
    <w:rsid w:val="00BC6375"/>
    <w:rsid w:val="00BC65FC"/>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115B"/>
    <w:rsid w:val="00BE2D62"/>
    <w:rsid w:val="00BE2EB1"/>
    <w:rsid w:val="00BE31C9"/>
    <w:rsid w:val="00BE4B38"/>
    <w:rsid w:val="00BE4D1B"/>
    <w:rsid w:val="00BE5430"/>
    <w:rsid w:val="00BE757F"/>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07DC"/>
    <w:rsid w:val="00C11761"/>
    <w:rsid w:val="00C126DD"/>
    <w:rsid w:val="00C138A0"/>
    <w:rsid w:val="00C145B6"/>
    <w:rsid w:val="00C15CCD"/>
    <w:rsid w:val="00C17126"/>
    <w:rsid w:val="00C20C76"/>
    <w:rsid w:val="00C20CA4"/>
    <w:rsid w:val="00C20DA7"/>
    <w:rsid w:val="00C228BE"/>
    <w:rsid w:val="00C22AC7"/>
    <w:rsid w:val="00C23D26"/>
    <w:rsid w:val="00C26256"/>
    <w:rsid w:val="00C26D57"/>
    <w:rsid w:val="00C270C1"/>
    <w:rsid w:val="00C30004"/>
    <w:rsid w:val="00C308E0"/>
    <w:rsid w:val="00C30DF6"/>
    <w:rsid w:val="00C32E6B"/>
    <w:rsid w:val="00C32F4E"/>
    <w:rsid w:val="00C33884"/>
    <w:rsid w:val="00C338CC"/>
    <w:rsid w:val="00C33E58"/>
    <w:rsid w:val="00C347BA"/>
    <w:rsid w:val="00C34966"/>
    <w:rsid w:val="00C35040"/>
    <w:rsid w:val="00C35252"/>
    <w:rsid w:val="00C353CA"/>
    <w:rsid w:val="00C36420"/>
    <w:rsid w:val="00C36C06"/>
    <w:rsid w:val="00C370DA"/>
    <w:rsid w:val="00C37747"/>
    <w:rsid w:val="00C37846"/>
    <w:rsid w:val="00C41466"/>
    <w:rsid w:val="00C41EA5"/>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4865"/>
    <w:rsid w:val="00C64AED"/>
    <w:rsid w:val="00C64B7B"/>
    <w:rsid w:val="00C6631E"/>
    <w:rsid w:val="00C669E7"/>
    <w:rsid w:val="00C67066"/>
    <w:rsid w:val="00C67589"/>
    <w:rsid w:val="00C67BA6"/>
    <w:rsid w:val="00C70FC3"/>
    <w:rsid w:val="00C71F98"/>
    <w:rsid w:val="00C73834"/>
    <w:rsid w:val="00C7413F"/>
    <w:rsid w:val="00C7458B"/>
    <w:rsid w:val="00C74C29"/>
    <w:rsid w:val="00C753E1"/>
    <w:rsid w:val="00C7694B"/>
    <w:rsid w:val="00C77B09"/>
    <w:rsid w:val="00C800BD"/>
    <w:rsid w:val="00C802F6"/>
    <w:rsid w:val="00C80300"/>
    <w:rsid w:val="00C80366"/>
    <w:rsid w:val="00C81C81"/>
    <w:rsid w:val="00C81E71"/>
    <w:rsid w:val="00C827E0"/>
    <w:rsid w:val="00C86A37"/>
    <w:rsid w:val="00C90AE9"/>
    <w:rsid w:val="00C9156C"/>
    <w:rsid w:val="00C924D9"/>
    <w:rsid w:val="00C953B2"/>
    <w:rsid w:val="00C953E6"/>
    <w:rsid w:val="00C95417"/>
    <w:rsid w:val="00C955BE"/>
    <w:rsid w:val="00C96949"/>
    <w:rsid w:val="00C96A72"/>
    <w:rsid w:val="00C9729B"/>
    <w:rsid w:val="00C97665"/>
    <w:rsid w:val="00C97FB3"/>
    <w:rsid w:val="00CA0078"/>
    <w:rsid w:val="00CA1C76"/>
    <w:rsid w:val="00CA1D2F"/>
    <w:rsid w:val="00CA280A"/>
    <w:rsid w:val="00CA291B"/>
    <w:rsid w:val="00CA315B"/>
    <w:rsid w:val="00CA3387"/>
    <w:rsid w:val="00CA3B18"/>
    <w:rsid w:val="00CA408C"/>
    <w:rsid w:val="00CA43CA"/>
    <w:rsid w:val="00CA49D3"/>
    <w:rsid w:val="00CB03FF"/>
    <w:rsid w:val="00CB067F"/>
    <w:rsid w:val="00CB09FD"/>
    <w:rsid w:val="00CB0FDB"/>
    <w:rsid w:val="00CB1753"/>
    <w:rsid w:val="00CB19DD"/>
    <w:rsid w:val="00CB2CC4"/>
    <w:rsid w:val="00CB2E31"/>
    <w:rsid w:val="00CB30B1"/>
    <w:rsid w:val="00CB3852"/>
    <w:rsid w:val="00CB3C46"/>
    <w:rsid w:val="00CB3E82"/>
    <w:rsid w:val="00CB483B"/>
    <w:rsid w:val="00CB4AE6"/>
    <w:rsid w:val="00CB5216"/>
    <w:rsid w:val="00CB7684"/>
    <w:rsid w:val="00CC00D8"/>
    <w:rsid w:val="00CC1E41"/>
    <w:rsid w:val="00CC1F1A"/>
    <w:rsid w:val="00CC2C0B"/>
    <w:rsid w:val="00CC2C63"/>
    <w:rsid w:val="00CC2D32"/>
    <w:rsid w:val="00CC308A"/>
    <w:rsid w:val="00CC32A6"/>
    <w:rsid w:val="00CC3A6C"/>
    <w:rsid w:val="00CC51F7"/>
    <w:rsid w:val="00CC5B6C"/>
    <w:rsid w:val="00CC5C27"/>
    <w:rsid w:val="00CD0148"/>
    <w:rsid w:val="00CD0534"/>
    <w:rsid w:val="00CD0EC1"/>
    <w:rsid w:val="00CD31A8"/>
    <w:rsid w:val="00CD328F"/>
    <w:rsid w:val="00CD42A9"/>
    <w:rsid w:val="00CD50DA"/>
    <w:rsid w:val="00CD51AF"/>
    <w:rsid w:val="00CD605A"/>
    <w:rsid w:val="00CD63CE"/>
    <w:rsid w:val="00CD66B4"/>
    <w:rsid w:val="00CD6773"/>
    <w:rsid w:val="00CD67B3"/>
    <w:rsid w:val="00CD6B5C"/>
    <w:rsid w:val="00CD7984"/>
    <w:rsid w:val="00CD7A23"/>
    <w:rsid w:val="00CD7C2D"/>
    <w:rsid w:val="00CE0F45"/>
    <w:rsid w:val="00CE1542"/>
    <w:rsid w:val="00CE2951"/>
    <w:rsid w:val="00CE3462"/>
    <w:rsid w:val="00CE373D"/>
    <w:rsid w:val="00CE3816"/>
    <w:rsid w:val="00CE3998"/>
    <w:rsid w:val="00CE4381"/>
    <w:rsid w:val="00CF0562"/>
    <w:rsid w:val="00CF15CD"/>
    <w:rsid w:val="00CF17D2"/>
    <w:rsid w:val="00CF1A07"/>
    <w:rsid w:val="00CF1B9A"/>
    <w:rsid w:val="00CF2221"/>
    <w:rsid w:val="00CF22B3"/>
    <w:rsid w:val="00CF2D95"/>
    <w:rsid w:val="00CF45A7"/>
    <w:rsid w:val="00CF45C6"/>
    <w:rsid w:val="00CF4ED7"/>
    <w:rsid w:val="00CF523C"/>
    <w:rsid w:val="00CF659F"/>
    <w:rsid w:val="00CF6880"/>
    <w:rsid w:val="00D0189E"/>
    <w:rsid w:val="00D02291"/>
    <w:rsid w:val="00D0314D"/>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3B"/>
    <w:rsid w:val="00D179DF"/>
    <w:rsid w:val="00D17AE2"/>
    <w:rsid w:val="00D20053"/>
    <w:rsid w:val="00D205FF"/>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4F03"/>
    <w:rsid w:val="00D356EB"/>
    <w:rsid w:val="00D35E43"/>
    <w:rsid w:val="00D35E98"/>
    <w:rsid w:val="00D3620C"/>
    <w:rsid w:val="00D3729B"/>
    <w:rsid w:val="00D37689"/>
    <w:rsid w:val="00D407D8"/>
    <w:rsid w:val="00D40B0B"/>
    <w:rsid w:val="00D40EF0"/>
    <w:rsid w:val="00D41FF5"/>
    <w:rsid w:val="00D43805"/>
    <w:rsid w:val="00D43E22"/>
    <w:rsid w:val="00D443C8"/>
    <w:rsid w:val="00D447D7"/>
    <w:rsid w:val="00D46BFE"/>
    <w:rsid w:val="00D4768F"/>
    <w:rsid w:val="00D504B6"/>
    <w:rsid w:val="00D50863"/>
    <w:rsid w:val="00D50C55"/>
    <w:rsid w:val="00D518CA"/>
    <w:rsid w:val="00D52809"/>
    <w:rsid w:val="00D52DC7"/>
    <w:rsid w:val="00D53A1C"/>
    <w:rsid w:val="00D53C43"/>
    <w:rsid w:val="00D540E3"/>
    <w:rsid w:val="00D54EA0"/>
    <w:rsid w:val="00D55275"/>
    <w:rsid w:val="00D5590F"/>
    <w:rsid w:val="00D559CE"/>
    <w:rsid w:val="00D559CF"/>
    <w:rsid w:val="00D560B3"/>
    <w:rsid w:val="00D56465"/>
    <w:rsid w:val="00D56A5F"/>
    <w:rsid w:val="00D57389"/>
    <w:rsid w:val="00D575DC"/>
    <w:rsid w:val="00D57C2C"/>
    <w:rsid w:val="00D60A8B"/>
    <w:rsid w:val="00D623A5"/>
    <w:rsid w:val="00D6288F"/>
    <w:rsid w:val="00D63E33"/>
    <w:rsid w:val="00D63F57"/>
    <w:rsid w:val="00D64441"/>
    <w:rsid w:val="00D66A20"/>
    <w:rsid w:val="00D7058A"/>
    <w:rsid w:val="00D70CE0"/>
    <w:rsid w:val="00D74765"/>
    <w:rsid w:val="00D74E12"/>
    <w:rsid w:val="00D768CC"/>
    <w:rsid w:val="00D7738B"/>
    <w:rsid w:val="00D777A7"/>
    <w:rsid w:val="00D777C8"/>
    <w:rsid w:val="00D77A29"/>
    <w:rsid w:val="00D80C99"/>
    <w:rsid w:val="00D818C6"/>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42FF"/>
    <w:rsid w:val="00DA4FF3"/>
    <w:rsid w:val="00DA5642"/>
    <w:rsid w:val="00DA5647"/>
    <w:rsid w:val="00DA6EB5"/>
    <w:rsid w:val="00DA7DF1"/>
    <w:rsid w:val="00DB0402"/>
    <w:rsid w:val="00DB2409"/>
    <w:rsid w:val="00DB2423"/>
    <w:rsid w:val="00DB28C3"/>
    <w:rsid w:val="00DB2A44"/>
    <w:rsid w:val="00DB4026"/>
    <w:rsid w:val="00DB46BE"/>
    <w:rsid w:val="00DB4F7D"/>
    <w:rsid w:val="00DB5BC6"/>
    <w:rsid w:val="00DB66D3"/>
    <w:rsid w:val="00DB6C6A"/>
    <w:rsid w:val="00DB7C1E"/>
    <w:rsid w:val="00DC093C"/>
    <w:rsid w:val="00DC0B91"/>
    <w:rsid w:val="00DC11E0"/>
    <w:rsid w:val="00DC12B0"/>
    <w:rsid w:val="00DC1553"/>
    <w:rsid w:val="00DC1BA3"/>
    <w:rsid w:val="00DC2800"/>
    <w:rsid w:val="00DC2F4C"/>
    <w:rsid w:val="00DC36F8"/>
    <w:rsid w:val="00DC40BF"/>
    <w:rsid w:val="00DC48EE"/>
    <w:rsid w:val="00DC51B2"/>
    <w:rsid w:val="00DC550C"/>
    <w:rsid w:val="00DC71AE"/>
    <w:rsid w:val="00DC748E"/>
    <w:rsid w:val="00DD301D"/>
    <w:rsid w:val="00DD3313"/>
    <w:rsid w:val="00DD36F7"/>
    <w:rsid w:val="00DD379B"/>
    <w:rsid w:val="00DD4264"/>
    <w:rsid w:val="00DD42E0"/>
    <w:rsid w:val="00DD43B0"/>
    <w:rsid w:val="00DD501E"/>
    <w:rsid w:val="00DD5520"/>
    <w:rsid w:val="00DD5A7C"/>
    <w:rsid w:val="00DD7378"/>
    <w:rsid w:val="00DD7603"/>
    <w:rsid w:val="00DD7B43"/>
    <w:rsid w:val="00DE0A41"/>
    <w:rsid w:val="00DE147D"/>
    <w:rsid w:val="00DE19A1"/>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7001"/>
    <w:rsid w:val="00E07564"/>
    <w:rsid w:val="00E07F04"/>
    <w:rsid w:val="00E1053D"/>
    <w:rsid w:val="00E114B6"/>
    <w:rsid w:val="00E12C30"/>
    <w:rsid w:val="00E1349E"/>
    <w:rsid w:val="00E14386"/>
    <w:rsid w:val="00E1451D"/>
    <w:rsid w:val="00E1472B"/>
    <w:rsid w:val="00E157E4"/>
    <w:rsid w:val="00E16784"/>
    <w:rsid w:val="00E1795D"/>
    <w:rsid w:val="00E17A88"/>
    <w:rsid w:val="00E20796"/>
    <w:rsid w:val="00E20935"/>
    <w:rsid w:val="00E21216"/>
    <w:rsid w:val="00E21C1C"/>
    <w:rsid w:val="00E231E5"/>
    <w:rsid w:val="00E23EDF"/>
    <w:rsid w:val="00E2438D"/>
    <w:rsid w:val="00E24A3F"/>
    <w:rsid w:val="00E25F37"/>
    <w:rsid w:val="00E26B91"/>
    <w:rsid w:val="00E26EDD"/>
    <w:rsid w:val="00E27B12"/>
    <w:rsid w:val="00E31BF2"/>
    <w:rsid w:val="00E33179"/>
    <w:rsid w:val="00E331C0"/>
    <w:rsid w:val="00E34134"/>
    <w:rsid w:val="00E34263"/>
    <w:rsid w:val="00E34B9C"/>
    <w:rsid w:val="00E34FFC"/>
    <w:rsid w:val="00E35947"/>
    <w:rsid w:val="00E36CB2"/>
    <w:rsid w:val="00E40F04"/>
    <w:rsid w:val="00E4114E"/>
    <w:rsid w:val="00E42F80"/>
    <w:rsid w:val="00E46AF8"/>
    <w:rsid w:val="00E507D9"/>
    <w:rsid w:val="00E513DF"/>
    <w:rsid w:val="00E52130"/>
    <w:rsid w:val="00E5275C"/>
    <w:rsid w:val="00E54DE3"/>
    <w:rsid w:val="00E558C9"/>
    <w:rsid w:val="00E5700D"/>
    <w:rsid w:val="00E57014"/>
    <w:rsid w:val="00E60F46"/>
    <w:rsid w:val="00E6126E"/>
    <w:rsid w:val="00E62CF9"/>
    <w:rsid w:val="00E6339E"/>
    <w:rsid w:val="00E63B32"/>
    <w:rsid w:val="00E63CFE"/>
    <w:rsid w:val="00E64E02"/>
    <w:rsid w:val="00E650CA"/>
    <w:rsid w:val="00E6616F"/>
    <w:rsid w:val="00E66AF7"/>
    <w:rsid w:val="00E66C5D"/>
    <w:rsid w:val="00E67928"/>
    <w:rsid w:val="00E679A0"/>
    <w:rsid w:val="00E71246"/>
    <w:rsid w:val="00E71464"/>
    <w:rsid w:val="00E72D5A"/>
    <w:rsid w:val="00E73469"/>
    <w:rsid w:val="00E735C3"/>
    <w:rsid w:val="00E74229"/>
    <w:rsid w:val="00E74EB0"/>
    <w:rsid w:val="00E759DD"/>
    <w:rsid w:val="00E76059"/>
    <w:rsid w:val="00E76BA9"/>
    <w:rsid w:val="00E80BE4"/>
    <w:rsid w:val="00E81ADB"/>
    <w:rsid w:val="00E8315F"/>
    <w:rsid w:val="00E852A2"/>
    <w:rsid w:val="00E855E9"/>
    <w:rsid w:val="00E87830"/>
    <w:rsid w:val="00E91158"/>
    <w:rsid w:val="00E911EE"/>
    <w:rsid w:val="00E9271A"/>
    <w:rsid w:val="00E95697"/>
    <w:rsid w:val="00E95879"/>
    <w:rsid w:val="00E95D22"/>
    <w:rsid w:val="00E9715E"/>
    <w:rsid w:val="00E971FE"/>
    <w:rsid w:val="00EA0FA3"/>
    <w:rsid w:val="00EA10F9"/>
    <w:rsid w:val="00EA11AD"/>
    <w:rsid w:val="00EA1837"/>
    <w:rsid w:val="00EA2158"/>
    <w:rsid w:val="00EA242B"/>
    <w:rsid w:val="00EA2B3C"/>
    <w:rsid w:val="00EA31A0"/>
    <w:rsid w:val="00EA3C8E"/>
    <w:rsid w:val="00EA4E44"/>
    <w:rsid w:val="00EA630B"/>
    <w:rsid w:val="00EA7056"/>
    <w:rsid w:val="00EB055C"/>
    <w:rsid w:val="00EB0DA4"/>
    <w:rsid w:val="00EB0ED2"/>
    <w:rsid w:val="00EB1FFF"/>
    <w:rsid w:val="00EB293B"/>
    <w:rsid w:val="00EB3575"/>
    <w:rsid w:val="00EB3B48"/>
    <w:rsid w:val="00EB3B86"/>
    <w:rsid w:val="00EB3CBD"/>
    <w:rsid w:val="00EB4152"/>
    <w:rsid w:val="00EB63D8"/>
    <w:rsid w:val="00EB6504"/>
    <w:rsid w:val="00EB683A"/>
    <w:rsid w:val="00EB6C72"/>
    <w:rsid w:val="00EB78EC"/>
    <w:rsid w:val="00EB7C1D"/>
    <w:rsid w:val="00EC2EAB"/>
    <w:rsid w:val="00EC36EF"/>
    <w:rsid w:val="00EC4910"/>
    <w:rsid w:val="00EC5166"/>
    <w:rsid w:val="00EC5283"/>
    <w:rsid w:val="00EC52DC"/>
    <w:rsid w:val="00EC5518"/>
    <w:rsid w:val="00EC6C28"/>
    <w:rsid w:val="00EC71DC"/>
    <w:rsid w:val="00EC76DA"/>
    <w:rsid w:val="00ED1251"/>
    <w:rsid w:val="00ED1D8C"/>
    <w:rsid w:val="00ED2025"/>
    <w:rsid w:val="00ED2503"/>
    <w:rsid w:val="00ED317A"/>
    <w:rsid w:val="00ED359C"/>
    <w:rsid w:val="00ED3EBD"/>
    <w:rsid w:val="00ED5369"/>
    <w:rsid w:val="00ED6687"/>
    <w:rsid w:val="00ED715D"/>
    <w:rsid w:val="00EE126B"/>
    <w:rsid w:val="00EE2A8F"/>
    <w:rsid w:val="00EE3363"/>
    <w:rsid w:val="00EE33EB"/>
    <w:rsid w:val="00EE497F"/>
    <w:rsid w:val="00EE4A6A"/>
    <w:rsid w:val="00EE4BE9"/>
    <w:rsid w:val="00EE6199"/>
    <w:rsid w:val="00EE6A31"/>
    <w:rsid w:val="00EE762E"/>
    <w:rsid w:val="00EE7973"/>
    <w:rsid w:val="00EE7A86"/>
    <w:rsid w:val="00EF073D"/>
    <w:rsid w:val="00EF0AF6"/>
    <w:rsid w:val="00EF10C9"/>
    <w:rsid w:val="00EF15D8"/>
    <w:rsid w:val="00EF1772"/>
    <w:rsid w:val="00EF2136"/>
    <w:rsid w:val="00EF2C1B"/>
    <w:rsid w:val="00EF2F45"/>
    <w:rsid w:val="00EF3564"/>
    <w:rsid w:val="00EF3A73"/>
    <w:rsid w:val="00EF3F7D"/>
    <w:rsid w:val="00EF4BAB"/>
    <w:rsid w:val="00EF6609"/>
    <w:rsid w:val="00EF66DD"/>
    <w:rsid w:val="00EF6B71"/>
    <w:rsid w:val="00EF742A"/>
    <w:rsid w:val="00EF7571"/>
    <w:rsid w:val="00EF7BDC"/>
    <w:rsid w:val="00F0039F"/>
    <w:rsid w:val="00F004B8"/>
    <w:rsid w:val="00F00E7B"/>
    <w:rsid w:val="00F01B2C"/>
    <w:rsid w:val="00F0443B"/>
    <w:rsid w:val="00F0507B"/>
    <w:rsid w:val="00F06A51"/>
    <w:rsid w:val="00F06F1B"/>
    <w:rsid w:val="00F079C0"/>
    <w:rsid w:val="00F079DF"/>
    <w:rsid w:val="00F07EDE"/>
    <w:rsid w:val="00F117AC"/>
    <w:rsid w:val="00F120D3"/>
    <w:rsid w:val="00F124D1"/>
    <w:rsid w:val="00F12A78"/>
    <w:rsid w:val="00F12E77"/>
    <w:rsid w:val="00F13A97"/>
    <w:rsid w:val="00F13CAA"/>
    <w:rsid w:val="00F151A0"/>
    <w:rsid w:val="00F161DB"/>
    <w:rsid w:val="00F168FE"/>
    <w:rsid w:val="00F17D07"/>
    <w:rsid w:val="00F20738"/>
    <w:rsid w:val="00F213A5"/>
    <w:rsid w:val="00F21589"/>
    <w:rsid w:val="00F2221D"/>
    <w:rsid w:val="00F22F38"/>
    <w:rsid w:val="00F23307"/>
    <w:rsid w:val="00F2498D"/>
    <w:rsid w:val="00F2538D"/>
    <w:rsid w:val="00F259D8"/>
    <w:rsid w:val="00F26244"/>
    <w:rsid w:val="00F263DF"/>
    <w:rsid w:val="00F27554"/>
    <w:rsid w:val="00F302FF"/>
    <w:rsid w:val="00F308A0"/>
    <w:rsid w:val="00F30D17"/>
    <w:rsid w:val="00F31368"/>
    <w:rsid w:val="00F3142F"/>
    <w:rsid w:val="00F32EF1"/>
    <w:rsid w:val="00F33844"/>
    <w:rsid w:val="00F33A66"/>
    <w:rsid w:val="00F33BD6"/>
    <w:rsid w:val="00F340AD"/>
    <w:rsid w:val="00F342CC"/>
    <w:rsid w:val="00F3510A"/>
    <w:rsid w:val="00F3647E"/>
    <w:rsid w:val="00F36BFE"/>
    <w:rsid w:val="00F37154"/>
    <w:rsid w:val="00F3723C"/>
    <w:rsid w:val="00F4066E"/>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CEA"/>
    <w:rsid w:val="00F634FD"/>
    <w:rsid w:val="00F63F2B"/>
    <w:rsid w:val="00F64390"/>
    <w:rsid w:val="00F646FE"/>
    <w:rsid w:val="00F6501E"/>
    <w:rsid w:val="00F66893"/>
    <w:rsid w:val="00F67563"/>
    <w:rsid w:val="00F67841"/>
    <w:rsid w:val="00F67872"/>
    <w:rsid w:val="00F67B39"/>
    <w:rsid w:val="00F67FA7"/>
    <w:rsid w:val="00F70090"/>
    <w:rsid w:val="00F7029C"/>
    <w:rsid w:val="00F70378"/>
    <w:rsid w:val="00F70D6A"/>
    <w:rsid w:val="00F70DE7"/>
    <w:rsid w:val="00F72335"/>
    <w:rsid w:val="00F7234D"/>
    <w:rsid w:val="00F7267F"/>
    <w:rsid w:val="00F726B8"/>
    <w:rsid w:val="00F73A9C"/>
    <w:rsid w:val="00F77386"/>
    <w:rsid w:val="00F80688"/>
    <w:rsid w:val="00F81CDA"/>
    <w:rsid w:val="00F81F41"/>
    <w:rsid w:val="00F824B0"/>
    <w:rsid w:val="00F84BC1"/>
    <w:rsid w:val="00F84F75"/>
    <w:rsid w:val="00F85E4A"/>
    <w:rsid w:val="00F868D5"/>
    <w:rsid w:val="00F87224"/>
    <w:rsid w:val="00F90962"/>
    <w:rsid w:val="00F9288C"/>
    <w:rsid w:val="00F94181"/>
    <w:rsid w:val="00F9498B"/>
    <w:rsid w:val="00F9571E"/>
    <w:rsid w:val="00F95E55"/>
    <w:rsid w:val="00FA1664"/>
    <w:rsid w:val="00FA1742"/>
    <w:rsid w:val="00FA239A"/>
    <w:rsid w:val="00FA27C0"/>
    <w:rsid w:val="00FA2EDB"/>
    <w:rsid w:val="00FA4143"/>
    <w:rsid w:val="00FA433E"/>
    <w:rsid w:val="00FA5087"/>
    <w:rsid w:val="00FA62B9"/>
    <w:rsid w:val="00FA69D3"/>
    <w:rsid w:val="00FA6A8B"/>
    <w:rsid w:val="00FA7C74"/>
    <w:rsid w:val="00FB0219"/>
    <w:rsid w:val="00FB022C"/>
    <w:rsid w:val="00FB124C"/>
    <w:rsid w:val="00FB3892"/>
    <w:rsid w:val="00FB4039"/>
    <w:rsid w:val="00FB4C7C"/>
    <w:rsid w:val="00FC0242"/>
    <w:rsid w:val="00FC03F4"/>
    <w:rsid w:val="00FC118E"/>
    <w:rsid w:val="00FC1207"/>
    <w:rsid w:val="00FC1315"/>
    <w:rsid w:val="00FC1616"/>
    <w:rsid w:val="00FC200D"/>
    <w:rsid w:val="00FC2706"/>
    <w:rsid w:val="00FC308C"/>
    <w:rsid w:val="00FC4BB5"/>
    <w:rsid w:val="00FC4F0B"/>
    <w:rsid w:val="00FC558C"/>
    <w:rsid w:val="00FC5E47"/>
    <w:rsid w:val="00FC771C"/>
    <w:rsid w:val="00FC77BC"/>
    <w:rsid w:val="00FD06BC"/>
    <w:rsid w:val="00FD0974"/>
    <w:rsid w:val="00FD0EA0"/>
    <w:rsid w:val="00FD1627"/>
    <w:rsid w:val="00FD21BC"/>
    <w:rsid w:val="00FD2453"/>
    <w:rsid w:val="00FD304B"/>
    <w:rsid w:val="00FD5D55"/>
    <w:rsid w:val="00FD5F29"/>
    <w:rsid w:val="00FD6CF7"/>
    <w:rsid w:val="00FE013D"/>
    <w:rsid w:val="00FE1724"/>
    <w:rsid w:val="00FE209E"/>
    <w:rsid w:val="00FE2552"/>
    <w:rsid w:val="00FE4EA6"/>
    <w:rsid w:val="00FE6202"/>
    <w:rsid w:val="00FF164C"/>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35"/>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4"/>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4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50026529">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259943241">
      <w:bodyDiv w:val="1"/>
      <w:marLeft w:val="0"/>
      <w:marRight w:val="0"/>
      <w:marTop w:val="0"/>
      <w:marBottom w:val="0"/>
      <w:divBdr>
        <w:top w:val="none" w:sz="0" w:space="0" w:color="auto"/>
        <w:left w:val="none" w:sz="0" w:space="0" w:color="auto"/>
        <w:bottom w:val="none" w:sz="0" w:space="0" w:color="auto"/>
        <w:right w:val="none" w:sz="0" w:space="0" w:color="auto"/>
      </w:divBdr>
    </w:div>
    <w:div w:id="1260527636">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11543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5NUHHDQN7SK2-1476151046-47104</_dlc_DocId>
    <_dlc_DocIdUrl xmlns="f166a696-7b5b-4ccd-9f0c-ffde0cceec81">
      <Url>https://ericsson.sharepoint.com/sites/star/_layouts/15/DocIdRedir.aspx?ID=5NUHHDQN7SK2-1476151046-47104</Url>
      <Description>5NUHHDQN7SK2-1476151046-47104</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CAE7D8-A476-4525-B87F-B715D0E6D083}">
  <ds:schemaRefs>
    <ds:schemaRef ds:uri="Microsoft.SharePoint.Taxonomy.ContentTypeSync"/>
  </ds:schemaRefs>
</ds:datastoreItem>
</file>

<file path=customXml/itemProps2.xml><?xml version="1.0" encoding="utf-8"?>
<ds:datastoreItem xmlns:ds="http://schemas.openxmlformats.org/officeDocument/2006/customXml" ds:itemID="{C72B6629-43CD-4D8C-9CB5-8348996BEF32}">
  <ds:schemaRefs>
    <ds:schemaRef ds:uri="http://schemas.microsoft.com/sharepoint/events"/>
  </ds:schemaRefs>
</ds:datastoreItem>
</file>

<file path=customXml/itemProps3.xml><?xml version="1.0" encoding="utf-8"?>
<ds:datastoreItem xmlns:ds="http://schemas.openxmlformats.org/officeDocument/2006/customXml" ds:itemID="{38E00C25-C372-45DF-84B7-DCA10AC6DB19}">
  <ds:schemaRefs>
    <ds:schemaRef ds:uri="http://schemas.microsoft.com/sharepoint/v3/contenttype/forms"/>
  </ds:schemaRefs>
</ds:datastoreItem>
</file>

<file path=customXml/itemProps4.xml><?xml version="1.0" encoding="utf-8"?>
<ds:datastoreItem xmlns:ds="http://schemas.openxmlformats.org/officeDocument/2006/customXml" ds:itemID="{E495999D-0C3E-4EC8-AB1B-1BA4246C638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FDE18F59-F682-405F-BA16-A1A02A8FF9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30DFB3-3793-4190-8300-6FBE404B9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1060</Words>
  <Characters>5621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Ericsson</cp:lastModifiedBy>
  <cp:revision>4</cp:revision>
  <cp:lastPrinted>2019-03-25T10:09:00Z</cp:lastPrinted>
  <dcterms:created xsi:type="dcterms:W3CDTF">2019-05-01T09:45:00Z</dcterms:created>
  <dcterms:modified xsi:type="dcterms:W3CDTF">2019-05-02T15:07:00Z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0x010100C5F30C9B16E14C8EACE5F2CC7B7AC7F400F5862E332FC6CE449700A00A9FC83FBA</vt:lpwstr>
  </property>
  <property fmtid="{D5CDD505-2E9C-101B-9397-08002B2CF9AE}" pid="5" name="_dlc_DocIdItemGuid">
    <vt:lpwstr>2c0a3581-7724-448f-8fb0-207c88da03e0</vt:lpwstr>
  </property>
  <property fmtid="{D5CDD505-2E9C-101B-9397-08002B2CF9AE}" pid="6" name="TaxKeyword">
    <vt:lpwstr/>
  </property>
  <property fmtid="{D5CDD505-2E9C-101B-9397-08002B2CF9AE}" pid="7" name="EriCOLLProjects">
    <vt:lpwstr/>
  </property>
  <property fmtid="{D5CDD505-2E9C-101B-9397-08002B2CF9AE}" pid="8" name="EriCOLLCategory">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ies>
</file>